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Style w:val="8"/>
          <w:rFonts w:ascii="方正小标宋_GBK" w:hAnsi="方正小标宋_GBK" w:eastAsia="方正小标宋_GBK" w:cs="方正小标宋_GBK"/>
          <w:b w:val="0"/>
          <w:color w:val="333333"/>
          <w:spacing w:val="-15"/>
          <w:sz w:val="44"/>
          <w:szCs w:val="44"/>
          <w:shd w:val="clear" w:color="auto" w:fill="FFFFFF"/>
        </w:rPr>
      </w:pPr>
      <w:bookmarkStart w:id="0" w:name="_GoBack"/>
      <w:bookmarkEnd w:id="0"/>
      <w:r>
        <w:rPr>
          <w:rFonts w:hint="eastAsia" w:ascii="Times New Roman" w:hAnsi="Times New Roman" w:eastAsia="方正小标宋_GBK"/>
          <w:bCs/>
          <w:kern w:val="0"/>
          <w:sz w:val="44"/>
          <w:szCs w:val="44"/>
        </w:rPr>
        <w:t>丰都县</w:t>
      </w:r>
      <w:r>
        <w:rPr>
          <w:rFonts w:hint="eastAsia" w:ascii="Times New Roman" w:hAnsi="Times New Roman" w:eastAsia="方正小标宋_GBK"/>
          <w:bCs/>
          <w:kern w:val="0"/>
          <w:sz w:val="44"/>
          <w:szCs w:val="44"/>
          <w:lang w:eastAsia="zh-CN"/>
        </w:rPr>
        <w:t>包鸾</w:t>
      </w:r>
      <w:r>
        <w:rPr>
          <w:rFonts w:hint="eastAsia" w:ascii="Times New Roman" w:hAnsi="Times New Roman" w:eastAsia="方正小标宋_GBK"/>
          <w:bCs/>
          <w:kern w:val="0"/>
          <w:sz w:val="44"/>
          <w:szCs w:val="44"/>
        </w:rPr>
        <w:t>镇人民政府</w:t>
      </w:r>
    </w:p>
    <w:p>
      <w:pPr>
        <w:spacing w:line="600" w:lineRule="exact"/>
        <w:jc w:val="center"/>
        <w:rPr>
          <w:rFonts w:hint="eastAsia" w:ascii="Times New Roman" w:hAnsi="Times New Roman" w:eastAsia="方正小标宋_GBK"/>
          <w:bCs/>
          <w:kern w:val="0"/>
          <w:sz w:val="44"/>
          <w:szCs w:val="44"/>
        </w:rPr>
      </w:pPr>
      <w:r>
        <w:rPr>
          <w:rFonts w:hint="eastAsia" w:ascii="Times New Roman" w:hAnsi="Times New Roman" w:eastAsia="方正小标宋_GBK"/>
          <w:bCs/>
          <w:kern w:val="0"/>
          <w:sz w:val="44"/>
          <w:szCs w:val="44"/>
        </w:rPr>
        <w:t>关于2023年财政预算执行情况和2024年</w:t>
      </w:r>
    </w:p>
    <w:p>
      <w:pPr>
        <w:spacing w:line="600" w:lineRule="exact"/>
        <w:jc w:val="center"/>
        <w:rPr>
          <w:rFonts w:hint="eastAsia" w:ascii="Times New Roman" w:hAnsi="Times New Roman" w:eastAsia="方正小标宋_GBK"/>
          <w:bCs/>
          <w:kern w:val="0"/>
          <w:sz w:val="44"/>
          <w:szCs w:val="44"/>
        </w:rPr>
      </w:pPr>
      <w:r>
        <w:rPr>
          <w:rFonts w:hint="eastAsia" w:ascii="Times New Roman" w:hAnsi="Times New Roman" w:eastAsia="方正小标宋_GBK"/>
          <w:bCs/>
          <w:kern w:val="0"/>
          <w:sz w:val="44"/>
          <w:szCs w:val="44"/>
        </w:rPr>
        <w:t>财政预算的报告</w:t>
      </w:r>
    </w:p>
    <w:p>
      <w:pPr>
        <w:spacing w:line="570" w:lineRule="exact"/>
        <w:ind w:firstLine="640" w:firstLineChars="200"/>
        <w:jc w:val="both"/>
        <w:rPr>
          <w:rFonts w:hint="eastAsia" w:ascii="方正仿宋_GBK" w:eastAsia="方正仿宋_GBK"/>
          <w:kern w:val="0"/>
          <w:sz w:val="32"/>
          <w:szCs w:val="32"/>
          <w:lang w:eastAsia="zh-CN"/>
        </w:rPr>
      </w:pPr>
      <w:r>
        <w:rPr>
          <w:rFonts w:hint="eastAsia" w:ascii="方正仿宋_GBK" w:eastAsia="方正仿宋_GBK"/>
          <w:kern w:val="0"/>
          <w:sz w:val="32"/>
          <w:szCs w:val="32"/>
          <w:lang w:val="en-US" w:eastAsia="zh-CN"/>
        </w:rPr>
        <w:t>丰都县包鸾镇人民政府2023年预算执行情况和2024年财政预算草案的报告已经在2024</w:t>
      </w:r>
      <w:r>
        <w:rPr>
          <w:rFonts w:hint="eastAsia" w:ascii="方正仿宋_GBK" w:eastAsia="方正仿宋_GBK"/>
          <w:kern w:val="0"/>
          <w:sz w:val="32"/>
          <w:szCs w:val="32"/>
        </w:rPr>
        <w:t>年</w:t>
      </w:r>
      <w:r>
        <w:rPr>
          <w:rFonts w:hint="eastAsia" w:ascii="方正仿宋_GBK" w:eastAsia="方正仿宋_GBK"/>
          <w:kern w:val="0"/>
          <w:sz w:val="32"/>
          <w:szCs w:val="32"/>
          <w:lang w:val="en-US" w:eastAsia="zh-CN"/>
        </w:rPr>
        <w:t>3</w:t>
      </w:r>
      <w:r>
        <w:rPr>
          <w:rFonts w:hint="eastAsia" w:ascii="方正仿宋_GBK" w:eastAsia="方正仿宋_GBK"/>
          <w:kern w:val="0"/>
          <w:sz w:val="32"/>
          <w:szCs w:val="32"/>
        </w:rPr>
        <w:t>月</w:t>
      </w:r>
      <w:r>
        <w:rPr>
          <w:rFonts w:hint="eastAsia" w:ascii="方正仿宋_GBK" w:eastAsia="方正仿宋_GBK"/>
          <w:kern w:val="0"/>
          <w:sz w:val="32"/>
          <w:szCs w:val="32"/>
          <w:lang w:val="en-US" w:eastAsia="zh-CN"/>
        </w:rPr>
        <w:t>30</w:t>
      </w:r>
      <w:r>
        <w:rPr>
          <w:rFonts w:hint="eastAsia" w:ascii="方正仿宋_GBK" w:eastAsia="方正仿宋_GBK"/>
          <w:kern w:val="0"/>
          <w:sz w:val="32"/>
          <w:szCs w:val="32"/>
        </w:rPr>
        <w:t>日丰都县</w:t>
      </w:r>
      <w:r>
        <w:rPr>
          <w:rFonts w:hint="eastAsia" w:ascii="方正仿宋_GBK" w:eastAsia="方正仿宋_GBK"/>
          <w:kern w:val="0"/>
          <w:sz w:val="32"/>
          <w:szCs w:val="32"/>
          <w:lang w:eastAsia="zh-CN"/>
        </w:rPr>
        <w:t>包鸾</w:t>
      </w:r>
      <w:r>
        <w:rPr>
          <w:rFonts w:hint="eastAsia" w:ascii="方正仿宋_GBK" w:eastAsia="方正仿宋_GBK"/>
          <w:kern w:val="0"/>
          <w:sz w:val="32"/>
          <w:szCs w:val="32"/>
        </w:rPr>
        <w:t>镇第</w:t>
      </w:r>
      <w:r>
        <w:rPr>
          <w:rFonts w:hint="eastAsia" w:ascii="方正仿宋_GBK" w:eastAsia="方正仿宋_GBK"/>
          <w:kern w:val="0"/>
          <w:sz w:val="32"/>
          <w:szCs w:val="32"/>
          <w:lang w:eastAsia="zh-CN"/>
        </w:rPr>
        <w:t>八</w:t>
      </w:r>
      <w:r>
        <w:rPr>
          <w:rFonts w:hint="eastAsia" w:ascii="方正仿宋_GBK" w:eastAsia="方正仿宋_GBK"/>
          <w:kern w:val="0"/>
          <w:sz w:val="32"/>
          <w:szCs w:val="32"/>
        </w:rPr>
        <w:t>届人民代表大会第</w:t>
      </w:r>
      <w:r>
        <w:rPr>
          <w:rFonts w:hint="eastAsia" w:ascii="方正仿宋_GBK" w:eastAsia="方正仿宋_GBK"/>
          <w:kern w:val="0"/>
          <w:sz w:val="32"/>
          <w:szCs w:val="32"/>
          <w:lang w:val="en-US" w:eastAsia="zh-CN"/>
        </w:rPr>
        <w:t>五</w:t>
      </w:r>
      <w:r>
        <w:rPr>
          <w:rFonts w:hint="eastAsia" w:ascii="方正仿宋_GBK" w:eastAsia="方正仿宋_GBK"/>
          <w:kern w:val="0"/>
          <w:sz w:val="32"/>
          <w:szCs w:val="32"/>
        </w:rPr>
        <w:t>次会议</w:t>
      </w:r>
      <w:r>
        <w:rPr>
          <w:rFonts w:hint="eastAsia" w:ascii="方正仿宋_GBK" w:eastAsia="方正仿宋_GBK"/>
          <w:kern w:val="0"/>
          <w:sz w:val="32"/>
          <w:szCs w:val="32"/>
          <w:lang w:eastAsia="zh-CN"/>
        </w:rPr>
        <w:t>上审议通过，现予以公开。</w:t>
      </w:r>
    </w:p>
    <w:p>
      <w:pPr>
        <w:spacing w:line="570" w:lineRule="exact"/>
        <w:ind w:firstLine="640" w:firstLineChars="200"/>
        <w:rPr>
          <w:rFonts w:ascii="方正黑体_GBK" w:eastAsia="方正黑体_GBK"/>
          <w:color w:val="000000"/>
          <w:kern w:val="0"/>
          <w:sz w:val="32"/>
          <w:szCs w:val="32"/>
        </w:rPr>
      </w:pPr>
      <w:r>
        <w:rPr>
          <w:rFonts w:hint="eastAsia" w:ascii="方正黑体_GBK" w:eastAsia="方正黑体_GBK"/>
          <w:color w:val="000000"/>
          <w:kern w:val="0"/>
          <w:sz w:val="32"/>
          <w:szCs w:val="32"/>
        </w:rPr>
        <w:t>一、2023年财政预算执行情况</w:t>
      </w:r>
    </w:p>
    <w:p>
      <w:pPr>
        <w:spacing w:line="570" w:lineRule="exact"/>
        <w:ind w:firstLine="640" w:firstLineChars="200"/>
        <w:rPr>
          <w:rFonts w:ascii="方正楷体_GBK" w:hAnsi="Times New Roman" w:eastAsia="方正楷体_GBK" w:cs="Times New Roman"/>
          <w:kern w:val="0"/>
          <w:sz w:val="32"/>
          <w:szCs w:val="32"/>
        </w:rPr>
      </w:pPr>
      <w:r>
        <w:rPr>
          <w:rFonts w:hint="eastAsia" w:ascii="方正楷体_GBK" w:hAnsi="Times New Roman" w:eastAsia="方正楷体_GBK" w:cs="Times New Roman"/>
          <w:kern w:val="0"/>
          <w:sz w:val="32"/>
          <w:szCs w:val="32"/>
        </w:rPr>
        <w:t>（一）一般公共预算</w:t>
      </w:r>
    </w:p>
    <w:p>
      <w:pPr>
        <w:spacing w:line="570" w:lineRule="exact"/>
        <w:ind w:firstLine="640" w:firstLineChars="200"/>
        <w:rPr>
          <w:rFonts w:hint="eastAsia" w:ascii="方正仿宋_GBK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方正仿宋_GBK" w:eastAsia="方正仿宋_GBK"/>
          <w:kern w:val="0"/>
          <w:sz w:val="32"/>
          <w:szCs w:val="32"/>
        </w:rPr>
        <w:t>1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</w:rPr>
        <w:t>.收入情况。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2023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</w:rPr>
        <w:t>年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  <w:lang w:eastAsia="zh-CN"/>
        </w:rPr>
        <w:t>包鸾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</w:rPr>
        <w:t>镇一般公共预算收入总计为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5934.27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</w:rPr>
        <w:t>万元，为年度预算数的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100%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</w:rPr>
        <w:t>，同比增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  <w:lang w:eastAsia="zh-CN"/>
        </w:rPr>
        <w:t>加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2253.29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  <w:lang w:val="en-US" w:eastAsia="zh-CN"/>
        </w:rPr>
        <w:t>万元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</w:rPr>
        <w:t>。</w:t>
      </w:r>
    </w:p>
    <w:p>
      <w:pPr>
        <w:spacing w:line="570" w:lineRule="exact"/>
        <w:ind w:firstLine="640" w:firstLineChars="200"/>
        <w:rPr>
          <w:rFonts w:hint="eastAsia" w:ascii="方正仿宋_GBK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kern w:val="0"/>
          <w:sz w:val="32"/>
          <w:szCs w:val="32"/>
        </w:rPr>
        <w:t>2. 支出情况。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2023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</w:rPr>
        <w:t>年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  <w:lang w:eastAsia="zh-CN"/>
        </w:rPr>
        <w:t>包鸾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</w:rPr>
        <w:t>镇</w:t>
      </w:r>
      <w:r>
        <w:rPr>
          <w:rFonts w:hint="default" w:ascii="方正仿宋_GBK" w:hAnsi="Times New Roman" w:eastAsia="方正仿宋_GBK" w:cs="Times New Roman"/>
          <w:kern w:val="0"/>
          <w:sz w:val="32"/>
          <w:szCs w:val="32"/>
        </w:rPr>
        <w:t>一般公共预算支出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</w:rPr>
        <w:t>总计为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5934.27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</w:rPr>
        <w:t>万元,为年度预算数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100%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</w:rPr>
        <w:t>，同比增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  <w:lang w:eastAsia="zh-CN"/>
        </w:rPr>
        <w:t>加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2008.43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  <w:lang w:val="en-US" w:eastAsia="zh-CN"/>
        </w:rPr>
        <w:t>万元。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</w:rPr>
        <w:t>支出分项情况如下：</w:t>
      </w:r>
    </w:p>
    <w:p>
      <w:pPr>
        <w:spacing w:line="570" w:lineRule="exact"/>
        <w:ind w:firstLine="640" w:firstLineChars="200"/>
        <w:rPr>
          <w:rFonts w:hint="eastAsia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（1）一般公共服务支出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947.52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万元，主要用于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人大事务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，政府办公厅及相关机构事务，组织事务，其他共产党事务等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；</w:t>
      </w:r>
    </w:p>
    <w:p>
      <w:pPr>
        <w:spacing w:line="570" w:lineRule="exact"/>
        <w:ind w:firstLine="640" w:firstLineChars="200"/>
        <w:rPr>
          <w:rFonts w:hint="eastAsia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（2）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国防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支出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3.6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万元，主要用于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武装征兵工作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；</w:t>
      </w:r>
    </w:p>
    <w:p>
      <w:pPr>
        <w:spacing w:line="570" w:lineRule="exact"/>
        <w:ind w:firstLine="640" w:firstLineChars="200"/>
        <w:rPr>
          <w:rFonts w:hint="eastAsia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（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）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教育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支出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万元，主要用于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教育奖励扶助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；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（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）文化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旅游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体育与传媒支出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100.59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万元，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主要用于包鸾镇文化服务中心人员工资福利及商品服务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，文物保护，群众体育等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；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（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）社会保障和就业支出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440.37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万元，主要用于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包鸾镇劳动就业和社会保障服务所人员工资和商品服务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，基层政权建设和社区治理，行政事业单位养老，就业补助，残疾人康复，退役军人服务站人员工资福利及商品服务等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；</w:t>
      </w:r>
    </w:p>
    <w:p>
      <w:pPr>
        <w:spacing w:line="570" w:lineRule="exact"/>
        <w:ind w:firstLine="640" w:firstLineChars="200"/>
        <w:rPr>
          <w:rFonts w:hint="eastAsia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（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）卫生健康支出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96.51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万元，主要用于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重大公共卫生服务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，行政事业单位医疗，医疗保障政策管理等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；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（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）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城乡社区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支出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304.14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万元，主要用于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综合行政执法大队工资福利支出和商品服务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，城乡社区环境卫生，其他城乡社区等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；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（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）农林水支出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3490.1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万元，主要用于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农业生产发展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，农业资源保护修复与利用，其他农业农村，林业和草原等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；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（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）交通运输支出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453.55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万元，主要用于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公路建设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，公路养护，车辆购置税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；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（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10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）住房保障支出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70.36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万元，主要用于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行政事业单位人员住房公积金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；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（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11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）灾害防治及应急管理支出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22.53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万元，主要用于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自然灾害防治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，其他灾害防治及应急管理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；</w:t>
      </w:r>
    </w:p>
    <w:p>
      <w:pPr>
        <w:spacing w:line="570" w:lineRule="exact"/>
        <w:ind w:firstLine="640" w:firstLineChars="200"/>
        <w:rPr>
          <w:rFonts w:ascii="方正楷体_GBK" w:hAnsi="Times New Roman" w:eastAsia="方正楷体_GBK" w:cs="Times New Roman"/>
          <w:kern w:val="0"/>
          <w:sz w:val="32"/>
          <w:szCs w:val="32"/>
        </w:rPr>
      </w:pPr>
      <w:r>
        <w:rPr>
          <w:rFonts w:hint="eastAsia" w:ascii="方正楷体_GBK" w:hAnsi="Times New Roman" w:eastAsia="方正楷体_GBK" w:cs="Times New Roman"/>
          <w:kern w:val="0"/>
          <w:sz w:val="32"/>
          <w:szCs w:val="32"/>
        </w:rPr>
        <w:t>（二）政府性基金预算</w:t>
      </w:r>
    </w:p>
    <w:p>
      <w:pPr>
        <w:spacing w:line="570" w:lineRule="exact"/>
        <w:ind w:firstLine="640" w:firstLineChars="200"/>
        <w:rPr>
          <w:rFonts w:ascii="方正仿宋_GBK" w:hAnsi="Times New Roman" w:eastAsia="方正仿宋_GBK" w:cs="Times New Roman"/>
          <w:b/>
          <w:kern w:val="0"/>
          <w:sz w:val="32"/>
          <w:szCs w:val="32"/>
        </w:rPr>
      </w:pPr>
      <w:r>
        <w:rPr>
          <w:rFonts w:hint="eastAsia" w:ascii="方正仿宋_GBK" w:eastAsia="方正仿宋_GBK"/>
          <w:kern w:val="0"/>
          <w:sz w:val="32"/>
          <w:szCs w:val="32"/>
        </w:rPr>
        <w:t>1.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</w:rPr>
        <w:t>收入情况。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2023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</w:rPr>
        <w:t>年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  <w:lang w:eastAsia="zh-CN"/>
        </w:rPr>
        <w:t>包鸾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</w:rPr>
        <w:t>镇政府性基金预算收入总计为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810.15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</w:rPr>
        <w:t>万元，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  <w:lang w:eastAsia="zh-CN"/>
        </w:rPr>
        <w:t>为年度预算数的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100%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  <w:lang w:val="en-US" w:eastAsia="zh-CN"/>
        </w:rPr>
        <w:t>，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  <w:lang w:eastAsia="zh-CN"/>
        </w:rPr>
        <w:t>其中：上年结余收入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769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  <w:lang w:val="en-US" w:eastAsia="zh-CN"/>
        </w:rPr>
        <w:t>万元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</w:rPr>
        <w:t>。</w:t>
      </w:r>
    </w:p>
    <w:p>
      <w:pPr>
        <w:spacing w:line="570" w:lineRule="exact"/>
        <w:ind w:firstLine="640" w:firstLineChars="200"/>
        <w:rPr>
          <w:rFonts w:hint="default" w:ascii="方正仿宋_GBK" w:eastAsia="方正仿宋_GBK"/>
          <w:kern w:val="0"/>
          <w:sz w:val="32"/>
          <w:szCs w:val="32"/>
          <w:lang w:val="en-US"/>
        </w:rPr>
      </w:pPr>
      <w:r>
        <w:rPr>
          <w:rFonts w:ascii="方正仿宋_GBK" w:eastAsia="方正仿宋_GBK"/>
          <w:kern w:val="0"/>
          <w:sz w:val="32"/>
          <w:szCs w:val="32"/>
        </w:rPr>
        <w:t>2. </w:t>
      </w:r>
      <w:r>
        <w:rPr>
          <w:rFonts w:hint="eastAsia" w:ascii="方正仿宋_GBK" w:eastAsia="方正仿宋_GBK"/>
          <w:kern w:val="0"/>
          <w:sz w:val="32"/>
          <w:szCs w:val="32"/>
        </w:rPr>
        <w:t>支出情况。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2023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</w:rPr>
        <w:t>年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  <w:lang w:eastAsia="zh-CN"/>
        </w:rPr>
        <w:t>包鸾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</w:rPr>
        <w:t>镇政府性基金预算支出总计为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41.15</w:t>
      </w:r>
      <w:r>
        <w:rPr>
          <w:rFonts w:hint="eastAsia" w:ascii="方正仿宋_GBK" w:eastAsia="方正仿宋_GBK"/>
          <w:kern w:val="0"/>
          <w:sz w:val="32"/>
          <w:szCs w:val="32"/>
        </w:rPr>
        <w:t>万元,为年度预算数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5.08%</w:t>
      </w:r>
      <w:r>
        <w:rPr>
          <w:rFonts w:hint="eastAsia" w:ascii="方正仿宋_GBK" w:eastAsia="方正仿宋_GBK"/>
          <w:kern w:val="0"/>
          <w:sz w:val="32"/>
          <w:szCs w:val="32"/>
        </w:rPr>
        <w:t>。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主要用于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：土地开发支出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32.86万元，其他国有土地使用权出让收入安排的支出8.29万元。年终结余769万元，为历年结余，未批准动用，主要用于三峡后续工作支出。</w:t>
      </w:r>
    </w:p>
    <w:p>
      <w:pPr>
        <w:spacing w:line="570" w:lineRule="exact"/>
        <w:ind w:firstLine="640" w:firstLineChars="200"/>
        <w:rPr>
          <w:rFonts w:ascii="方正楷体_GBK" w:hAnsi="Times New Roman" w:eastAsia="方正楷体_GBK" w:cs="Times New Roman"/>
          <w:kern w:val="0"/>
          <w:sz w:val="32"/>
          <w:szCs w:val="32"/>
          <w:highlight w:val="none"/>
        </w:rPr>
      </w:pPr>
      <w:r>
        <w:rPr>
          <w:rFonts w:hint="eastAsia" w:ascii="方正楷体_GBK" w:hAnsi="Times New Roman" w:eastAsia="方正楷体_GBK" w:cs="Times New Roman"/>
          <w:kern w:val="0"/>
          <w:sz w:val="32"/>
          <w:szCs w:val="32"/>
          <w:highlight w:val="none"/>
        </w:rPr>
        <w:t>（三）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2023</w:t>
      </w:r>
      <w:r>
        <w:rPr>
          <w:rFonts w:hint="eastAsia" w:ascii="方正楷体_GBK" w:hAnsi="Times New Roman" w:eastAsia="方正楷体_GBK" w:cs="Times New Roman"/>
          <w:kern w:val="0"/>
          <w:sz w:val="32"/>
          <w:szCs w:val="32"/>
          <w:highlight w:val="none"/>
        </w:rPr>
        <w:t>年重点财政工作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财政政策落实到位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202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年，我镇坚持稳中求进工作总基调，按照政府过紧日子的要求，全面落实县财政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“三保”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工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作要求，全镇财政工作总体运行平稳。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财政支出保障加强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在财政资金十分困难的情况下，镇财政办紧紧围绕镇党委、镇政府决策部署，统筹资金调度，有效保障了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创建乡村振兴示范镇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等重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  <w:t>点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工作经费；在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丰都县包鸾镇人居环境整治、农村厕所革命、包鸾镇稻鱼综合养殖、火龙果基地建设、阳光玫瑰基地建设、华坪村养鸡场基础设施提升改造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  <w:t>等项目建设中，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及时衔接县财政，确保资金按照要求拨付到位。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  <w:t>同时，政府缩减日常公用支出、积极筹措资金用于改善民生方面。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财政监管举措扎实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聚焦惠民惠农资金管理、政府债务风险防控、预决算公开、人居环境整治、基础设施建设等重点领域、重点项目开展监督，完善权责清晰、管理规范、廉洁高效的财政工作机制，切实维护我镇财政纪律的严肃性和权威性。</w:t>
      </w:r>
    </w:p>
    <w:p>
      <w:pPr>
        <w:spacing w:line="570" w:lineRule="exact"/>
        <w:ind w:firstLine="640" w:firstLineChars="200"/>
        <w:rPr>
          <w:rFonts w:hint="eastAsia" w:ascii="方正黑体_GBK" w:eastAsia="方正黑体_GBK"/>
          <w:color w:val="000000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color w:val="000000"/>
          <w:kern w:val="0"/>
          <w:sz w:val="32"/>
          <w:szCs w:val="32"/>
        </w:rPr>
        <w:t>二、202</w:t>
      </w:r>
      <w:r>
        <w:rPr>
          <w:rFonts w:ascii="方正黑体_GBK" w:eastAsia="方正黑体_GBK"/>
          <w:color w:val="000000"/>
          <w:kern w:val="0"/>
          <w:sz w:val="32"/>
          <w:szCs w:val="32"/>
        </w:rPr>
        <w:t>4</w:t>
      </w:r>
      <w:r>
        <w:rPr>
          <w:rFonts w:hint="eastAsia" w:ascii="方正黑体_GBK" w:eastAsia="方正黑体_GBK"/>
          <w:color w:val="000000"/>
          <w:kern w:val="0"/>
          <w:sz w:val="32"/>
          <w:szCs w:val="32"/>
        </w:rPr>
        <w:t>年财政预算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640" w:firstLineChars="200"/>
        <w:jc w:val="both"/>
        <w:textAlignment w:val="auto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202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4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年预算编制的总体思路是：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2024年预算编制的总体思路是：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支出预算包括基本支出预算和项目支出预算两部分。支出预算的编制要统筹兼顾、确保重点，按照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val="en-US" w:eastAsia="zh-CN"/>
        </w:rPr>
        <w:t>“人员经费按标准，公用经费按定额，项目经费分轻重缓急、视财力安排”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的原则进行编制。具体标准按照全县统一的口径编制。支出安排的几个具体方面：职工福利费按在职职工基本工资总额的3%列入预算、工会经费按基本工资总额的2%列预算、住房公积金按在行政在职人员工资额的12%列入预算。 据此标准，我镇2024年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全年财政支出预算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总额为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2583.66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万元。</w:t>
      </w:r>
    </w:p>
    <w:p>
      <w:pPr>
        <w:spacing w:line="570" w:lineRule="exact"/>
        <w:ind w:firstLine="640" w:firstLineChars="200"/>
        <w:rPr>
          <w:rFonts w:ascii="方正楷体_GBK" w:hAnsi="Times New Roman" w:eastAsia="方正楷体_GBK" w:cs="Times New Roman"/>
          <w:kern w:val="0"/>
          <w:sz w:val="32"/>
          <w:szCs w:val="32"/>
        </w:rPr>
      </w:pPr>
      <w:r>
        <w:rPr>
          <w:rFonts w:hint="eastAsia" w:ascii="方正楷体_GBK" w:hAnsi="Times New Roman" w:eastAsia="方正楷体_GBK" w:cs="Times New Roman"/>
          <w:kern w:val="0"/>
          <w:sz w:val="32"/>
          <w:szCs w:val="32"/>
        </w:rPr>
        <w:t>（一）一般公共预算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2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024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年一般公共预算收入预期总计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2583.66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万元。根据收入安排相应的支出总计预算为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2583.66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万元。支出的分类情况是：</w:t>
      </w:r>
    </w:p>
    <w:p>
      <w:pPr>
        <w:numPr>
          <w:ilvl w:val="0"/>
          <w:numId w:val="2"/>
        </w:numPr>
        <w:spacing w:line="570" w:lineRule="exact"/>
        <w:ind w:firstLine="640" w:firstLineChars="200"/>
        <w:rPr>
          <w:rFonts w:hint="eastAsia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一般公共服务支出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704.99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万元，主要用于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政府行政人员工资福利和政府日常运行经费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，其他政府办公厅相关机构事务等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；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2.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公共安全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支出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2.5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万元，主要用于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基层司法业务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；</w:t>
      </w:r>
    </w:p>
    <w:p>
      <w:pPr>
        <w:numPr>
          <w:ilvl w:val="0"/>
          <w:numId w:val="0"/>
        </w:numPr>
        <w:spacing w:line="570" w:lineRule="exact"/>
        <w:ind w:firstLine="640" w:firstLineChars="200"/>
        <w:rPr>
          <w:rFonts w:hint="eastAsia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教育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支出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万元，主要用于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教育奖励扶持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；</w:t>
      </w:r>
    </w:p>
    <w:p>
      <w:pPr>
        <w:spacing w:line="570" w:lineRule="exact"/>
        <w:ind w:firstLine="640" w:firstLineChars="200"/>
        <w:rPr>
          <w:rFonts w:hint="eastAsia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.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文化旅游体育与传媒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支出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84.85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万元，主要用于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文化服务中心工资福利和日常运行经费支出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等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；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.社会保障和就业支出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516.53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万元，主要用于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劳动就业和社会保障服务所工资福利和日常运行经费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，基层政权建设和社区治理等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；</w:t>
      </w:r>
    </w:p>
    <w:p>
      <w:pPr>
        <w:spacing w:line="570" w:lineRule="exact"/>
        <w:ind w:firstLine="640" w:firstLineChars="200"/>
        <w:rPr>
          <w:rFonts w:hint="eastAsia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.卫生健康支出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91.67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万元，主要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用于行政事业单位人员缴纳养老保险、职业年金、医疗保险等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；</w:t>
      </w:r>
    </w:p>
    <w:p>
      <w:pPr>
        <w:spacing w:line="570" w:lineRule="exact"/>
        <w:ind w:firstLine="640" w:firstLineChars="200"/>
        <w:rPr>
          <w:rFonts w:hint="eastAsia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.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节能环保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支出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0.3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万元，主要用于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污染防治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；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.城乡社区支出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165.34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万元，主要用于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其他城乡社区管理事务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，城乡社区环境卫生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；</w:t>
      </w:r>
    </w:p>
    <w:p>
      <w:pPr>
        <w:spacing w:line="570" w:lineRule="exact"/>
        <w:ind w:firstLine="640" w:firstLineChars="200"/>
        <w:rPr>
          <w:rFonts w:hint="eastAsia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.农林水事务支出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886.45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万元，主要用于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农业生产发展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农业服务中心人员工资福利及事业运行经费支出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等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；</w:t>
      </w:r>
    </w:p>
    <w:p>
      <w:pPr>
        <w:spacing w:line="570" w:lineRule="exact"/>
        <w:ind w:firstLine="640" w:firstLineChars="200"/>
        <w:rPr>
          <w:rFonts w:hint="eastAsia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10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.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交通运输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支出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10.16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万元，主要用于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公路和运输安全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；</w:t>
      </w:r>
    </w:p>
    <w:p>
      <w:pPr>
        <w:spacing w:line="570" w:lineRule="exact"/>
        <w:ind w:firstLine="640" w:firstLineChars="200"/>
        <w:rPr>
          <w:rFonts w:hint="eastAsia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11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.住房保障支出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87.87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万元，主要用于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行政机关事业人员缴纳住房公积金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；</w:t>
      </w:r>
    </w:p>
    <w:p>
      <w:pPr>
        <w:spacing w:line="570" w:lineRule="exact"/>
        <w:ind w:firstLine="640" w:firstLineChars="200"/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12.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灾害防治及应急管理支出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3万元，主要用于自然灾害救灾补助；</w:t>
      </w:r>
    </w:p>
    <w:p>
      <w:pPr>
        <w:spacing w:line="570" w:lineRule="exact"/>
        <w:ind w:firstLine="640" w:firstLineChars="200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13.预备费支出26万元，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主要用于政府临时应急等支出。</w:t>
      </w:r>
    </w:p>
    <w:p>
      <w:pPr>
        <w:spacing w:line="570" w:lineRule="exact"/>
        <w:ind w:firstLine="640" w:firstLineChars="200"/>
        <w:rPr>
          <w:rFonts w:ascii="方正楷体_GBK" w:hAnsi="Times New Roman" w:eastAsia="方正楷体_GBK" w:cs="Times New Roman"/>
          <w:kern w:val="0"/>
          <w:sz w:val="32"/>
          <w:szCs w:val="32"/>
        </w:rPr>
      </w:pPr>
      <w:r>
        <w:rPr>
          <w:rFonts w:hint="eastAsia" w:ascii="方正楷体_GBK" w:hAnsi="Times New Roman" w:eastAsia="方正楷体_GBK" w:cs="Times New Roman"/>
          <w:kern w:val="0"/>
          <w:sz w:val="32"/>
          <w:szCs w:val="32"/>
        </w:rPr>
        <w:t>（二）政府性基金预算</w:t>
      </w:r>
    </w:p>
    <w:p>
      <w:pPr>
        <w:spacing w:line="570" w:lineRule="exact"/>
        <w:ind w:firstLine="640" w:firstLineChars="200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全镇政府性基金收入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769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万元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，全部为上年结转收入，未批准动用，主要用于三峡后续工作支出。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以上收支预算如因上级政策调整，预算也随之调整，并向镇人大主席团报告后组织实施。</w:t>
      </w:r>
    </w:p>
    <w:p>
      <w:pPr>
        <w:spacing w:line="570" w:lineRule="exact"/>
        <w:ind w:firstLine="600" w:firstLineChars="200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0"/>
          <w:szCs w:val="30"/>
        </w:rPr>
        <w:t>三、2</w:t>
      </w:r>
      <w:r>
        <w:rPr>
          <w:rFonts w:ascii="Times New Roman" w:hAnsi="Times New Roman" w:eastAsia="方正仿宋_GBK" w:cs="Times New Roman"/>
          <w:kern w:val="0"/>
          <w:sz w:val="30"/>
          <w:szCs w:val="30"/>
        </w:rPr>
        <w:t>024</w:t>
      </w:r>
      <w:r>
        <w:rPr>
          <w:rFonts w:hint="eastAsia" w:ascii="Times New Roman" w:hAnsi="Times New Roman" w:eastAsia="方正仿宋_GBK" w:cs="Times New Roman"/>
          <w:kern w:val="0"/>
          <w:sz w:val="30"/>
          <w:szCs w:val="30"/>
        </w:rPr>
        <w:t>年财政工作主要任务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坚持党建统领、协同高效</w:t>
      </w:r>
    </w:p>
    <w:p>
      <w:pPr>
        <w:spacing w:line="570" w:lineRule="exact"/>
        <w:ind w:firstLine="640" w:firstLineChars="200"/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坚持用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习近平新时代中国特色社会主义思想凝心铸魂，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牢固树立财政机关首先是政治机关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的理念，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推动全面从严治党向纵深发展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，持续巩固拓展主题教育成果，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践行新发展理念、服务高质量发展，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持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不断增强服务全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镇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经济社会发展能力水平。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厚植民生福祉、利民为本</w:t>
      </w:r>
    </w:p>
    <w:p>
      <w:pPr>
        <w:spacing w:line="570" w:lineRule="exact"/>
        <w:ind w:firstLine="640" w:firstLineChars="200"/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始终坚持以人民为中心的发展思想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，加强财政资源统筹，加大重点民生支出保障力度，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积极探索推进乡村振兴，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在发展中保障和改善民生，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不断增强包鸾镇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人民群众的获得感、幸福感、安全感。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防范化解风险、长远兼顾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坚决筑牢财政运行防线，积极履行财政运行监管职责，强化部门信息共享和协同监管，坚决遏制新增隐性债务、稳妥化解存量隐性债务，保障财政资金使用安全性和可持续性。硬化财经纪律约束，优化财会监督体系，强化财会监督与各类监督贯通协调，不断提升监督效能。</w:t>
      </w:r>
    </w:p>
    <w:p>
      <w:pPr>
        <w:spacing w:line="570" w:lineRule="exact"/>
        <w:jc w:val="center"/>
        <w:rPr>
          <w:rFonts w:eastAsia="方正小标宋_GBK"/>
          <w:color w:val="000000"/>
          <w:kern w:val="0"/>
          <w:sz w:val="44"/>
          <w:szCs w:val="44"/>
        </w:rPr>
      </w:pPr>
    </w:p>
    <w:p>
      <w:pPr>
        <w:spacing w:line="570" w:lineRule="exact"/>
        <w:jc w:val="center"/>
        <w:rPr>
          <w:rFonts w:eastAsia="方正小标宋_GBK"/>
          <w:color w:val="000000"/>
          <w:kern w:val="0"/>
          <w:sz w:val="44"/>
          <w:szCs w:val="44"/>
        </w:rPr>
      </w:pPr>
      <w:r>
        <w:rPr>
          <w:rFonts w:eastAsia="方正小标宋_GBK"/>
          <w:color w:val="000000"/>
          <w:kern w:val="0"/>
          <w:sz w:val="44"/>
          <w:szCs w:val="44"/>
        </w:rPr>
        <w:t>相关事项说明</w:t>
      </w:r>
    </w:p>
    <w:p>
      <w:pPr>
        <w:spacing w:line="570" w:lineRule="exact"/>
        <w:ind w:firstLine="640" w:firstLineChars="200"/>
        <w:rPr>
          <w:rFonts w:eastAsia="方正仿宋_GBK"/>
          <w:color w:val="000000"/>
          <w:kern w:val="0"/>
          <w:sz w:val="32"/>
          <w:szCs w:val="32"/>
        </w:rPr>
      </w:pPr>
      <w:r>
        <w:rPr>
          <w:rFonts w:hint="eastAsia" w:eastAsia="方正黑体_GBK"/>
          <w:color w:val="000000"/>
          <w:kern w:val="0"/>
          <w:sz w:val="32"/>
          <w:szCs w:val="32"/>
        </w:rPr>
        <w:t>一</w:t>
      </w:r>
      <w:r>
        <w:rPr>
          <w:rFonts w:eastAsia="方正黑体_GBK"/>
          <w:color w:val="000000"/>
          <w:kern w:val="0"/>
          <w:sz w:val="32"/>
          <w:szCs w:val="32"/>
        </w:rPr>
        <w:t>、2023年预备费使用情况</w:t>
      </w:r>
    </w:p>
    <w:p>
      <w:pPr>
        <w:spacing w:line="570" w:lineRule="exact"/>
        <w:ind w:firstLine="640" w:firstLineChars="200"/>
        <w:rPr>
          <w:rFonts w:hint="default" w:ascii="方正仿宋_GBK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2023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  <w:lang w:val="en-US" w:eastAsia="zh-CN"/>
        </w:rPr>
        <w:t>年包鸾镇共预算预备费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24.5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  <w:lang w:val="en-US" w:eastAsia="zh-CN"/>
        </w:rPr>
        <w:t>万元，年底共申请预备费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22.96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  <w:lang w:val="en-US" w:eastAsia="zh-CN"/>
        </w:rPr>
        <w:t>万元，经本级人大同意报财政局批准后主要用于包鸾镇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2022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  <w:lang w:val="en-US" w:eastAsia="zh-CN"/>
        </w:rPr>
        <w:t>年末至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2023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  <w:lang w:val="en-US" w:eastAsia="zh-CN"/>
        </w:rPr>
        <w:t>年初疫情防控开支、老鹰山起火、洪涝灾害等应急管理产生的相关费用。</w:t>
      </w:r>
    </w:p>
    <w:p>
      <w:pPr>
        <w:spacing w:line="570" w:lineRule="exact"/>
        <w:ind w:firstLine="640" w:firstLineChars="200"/>
        <w:rPr>
          <w:rFonts w:eastAsia="方正仿宋_GBK"/>
          <w:color w:val="000000"/>
          <w:kern w:val="0"/>
          <w:sz w:val="32"/>
          <w:szCs w:val="32"/>
        </w:rPr>
      </w:pPr>
      <w:r>
        <w:rPr>
          <w:rFonts w:hint="eastAsia" w:eastAsia="方正黑体_GBK"/>
          <w:color w:val="000000"/>
          <w:kern w:val="0"/>
          <w:sz w:val="32"/>
          <w:szCs w:val="32"/>
        </w:rPr>
        <w:t>二</w:t>
      </w:r>
      <w:r>
        <w:rPr>
          <w:rFonts w:eastAsia="方正黑体_GBK"/>
          <w:color w:val="000000"/>
          <w:kern w:val="0"/>
          <w:sz w:val="32"/>
          <w:szCs w:val="32"/>
        </w:rPr>
        <w:t>、“三公”经费</w:t>
      </w:r>
      <w:r>
        <w:rPr>
          <w:rFonts w:hint="eastAsia" w:eastAsia="方正黑体_GBK"/>
          <w:color w:val="000000"/>
          <w:kern w:val="0"/>
          <w:sz w:val="32"/>
          <w:szCs w:val="32"/>
        </w:rPr>
        <w:t>相关</w:t>
      </w:r>
      <w:r>
        <w:rPr>
          <w:rFonts w:eastAsia="方正黑体_GBK"/>
          <w:color w:val="000000"/>
          <w:kern w:val="0"/>
          <w:sz w:val="32"/>
          <w:szCs w:val="32"/>
        </w:rPr>
        <w:t>情况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</w:rPr>
        <w:t>2024年“三公”经费预算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37.8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万元，比2023年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持平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。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持平原因：严控“三公”经费、严管资金拨付，因此都与去年持平。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其中：因公出国（境）费用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0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万元，比2023年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持平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，公务接待费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15.8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万元，比2023年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持平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；公务用车运行维护费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22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万元，比2023年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持平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；公务用车购置费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0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万元。</w:t>
      </w:r>
    </w:p>
    <w:p>
      <w:pPr>
        <w:spacing w:line="570" w:lineRule="exact"/>
        <w:jc w:val="center"/>
        <w:rPr>
          <w:rFonts w:eastAsia="方正小标宋_GBK"/>
          <w:sz w:val="44"/>
          <w:szCs w:val="44"/>
        </w:rPr>
      </w:pPr>
    </w:p>
    <w:p>
      <w:pPr>
        <w:spacing w:line="570" w:lineRule="exact"/>
        <w:jc w:val="center"/>
        <w:rPr>
          <w:rFonts w:eastAsia="方正小标宋_GBK"/>
          <w:sz w:val="44"/>
          <w:szCs w:val="44"/>
        </w:rPr>
      </w:pPr>
    </w:p>
    <w:p>
      <w:pPr>
        <w:spacing w:line="570" w:lineRule="exact"/>
        <w:jc w:val="center"/>
        <w:rPr>
          <w:rFonts w:ascii="方正楷体_GBK" w:hAnsi="Times New Roman" w:eastAsia="方正楷体_GBK" w:cs="Times New Roman"/>
          <w:kern w:val="0"/>
          <w:sz w:val="32"/>
          <w:szCs w:val="32"/>
        </w:rPr>
      </w:pPr>
      <w:r>
        <w:rPr>
          <w:rFonts w:eastAsia="方正小标宋_GBK"/>
          <w:sz w:val="44"/>
          <w:szCs w:val="44"/>
        </w:rPr>
        <w:t>名词解释</w:t>
      </w:r>
    </w:p>
    <w:p>
      <w:pPr>
        <w:spacing w:line="560" w:lineRule="exact"/>
        <w:ind w:firstLine="640" w:firstLineChars="200"/>
        <w:rPr>
          <w:rFonts w:eastAsia="方正仿宋_GBK"/>
          <w:kern w:val="0"/>
          <w:sz w:val="32"/>
          <w:szCs w:val="32"/>
        </w:rPr>
      </w:pPr>
      <w:r>
        <w:rPr>
          <w:rFonts w:eastAsia="方正黑体_GBK"/>
          <w:kern w:val="0"/>
          <w:sz w:val="32"/>
          <w:szCs w:val="32"/>
        </w:rPr>
        <w:t>一般公共预算：</w:t>
      </w:r>
      <w:r>
        <w:rPr>
          <w:rFonts w:eastAsia="方正仿宋_GBK"/>
          <w:kern w:val="0"/>
          <w:sz w:val="32"/>
          <w:szCs w:val="32"/>
        </w:rPr>
        <w:t>是对以税收为主体的财政收入，安排用于保障和改善民生、推动经济社会发展、维护国家安全、维持国家机构正常运转等方面的收支预算。包括税收收入和非税收入，其中，非税收入主要包括行政事业性收费收入、罚没收入、国有资源（资产）有偿使用收入等。</w:t>
      </w:r>
    </w:p>
    <w:p>
      <w:pPr>
        <w:spacing w:line="560" w:lineRule="exact"/>
        <w:ind w:firstLine="640" w:firstLineChars="200"/>
        <w:rPr>
          <w:rFonts w:eastAsia="方正仿宋_GBK"/>
          <w:kern w:val="0"/>
          <w:sz w:val="32"/>
          <w:szCs w:val="32"/>
        </w:rPr>
      </w:pPr>
      <w:r>
        <w:rPr>
          <w:rFonts w:eastAsia="方正黑体_GBK"/>
          <w:kern w:val="0"/>
          <w:sz w:val="32"/>
          <w:szCs w:val="32"/>
        </w:rPr>
        <w:t>政府性基金预算：</w:t>
      </w:r>
      <w:r>
        <w:rPr>
          <w:rFonts w:eastAsia="方正仿宋_GBK"/>
          <w:kern w:val="0"/>
          <w:sz w:val="32"/>
          <w:szCs w:val="32"/>
        </w:rPr>
        <w:t>是对依照法律、行政法规的规定在一定期限内向特定对象征收、收取或者以其他方式筹集的资金，专项用于特定公共事业发展的收支预算。主要包括土地收入、城市建设配套费。</w:t>
      </w:r>
    </w:p>
    <w:p>
      <w:pPr>
        <w:spacing w:line="560" w:lineRule="exact"/>
        <w:ind w:firstLine="640" w:firstLineChars="200"/>
        <w:rPr>
          <w:rFonts w:eastAsia="方正仿宋_GBK"/>
          <w:kern w:val="0"/>
          <w:sz w:val="32"/>
          <w:szCs w:val="32"/>
        </w:rPr>
      </w:pPr>
      <w:r>
        <w:rPr>
          <w:rFonts w:eastAsia="方正黑体_GBK"/>
          <w:kern w:val="0"/>
          <w:sz w:val="32"/>
          <w:szCs w:val="32"/>
        </w:rPr>
        <w:t>国有资本经营预算：</w:t>
      </w:r>
      <w:r>
        <w:rPr>
          <w:rFonts w:eastAsia="方正仿宋_GBK"/>
          <w:kern w:val="0"/>
          <w:sz w:val="32"/>
          <w:szCs w:val="32"/>
        </w:rPr>
        <w:t>是对国有资本收益作出支出安排的收支预算。主要为国企上缴利润收入、产权转让收入。</w:t>
      </w:r>
    </w:p>
    <w:p>
      <w:pPr>
        <w:spacing w:line="560" w:lineRule="exact"/>
        <w:ind w:firstLine="640" w:firstLineChars="200"/>
        <w:rPr>
          <w:rFonts w:eastAsia="方正仿宋_GBK"/>
          <w:kern w:val="0"/>
          <w:sz w:val="32"/>
          <w:szCs w:val="32"/>
        </w:rPr>
      </w:pPr>
      <w:r>
        <w:rPr>
          <w:rFonts w:eastAsia="方正黑体_GBK"/>
          <w:kern w:val="0"/>
          <w:sz w:val="32"/>
          <w:szCs w:val="32"/>
        </w:rPr>
        <w:t>社保基金预算：</w:t>
      </w:r>
      <w:r>
        <w:rPr>
          <w:rFonts w:eastAsia="方正仿宋_GBK"/>
          <w:kern w:val="0"/>
          <w:sz w:val="32"/>
          <w:szCs w:val="32"/>
        </w:rPr>
        <w:t>是对社会保险缴款、一般公共预算安排和其他方式筹集的资金，专项用于社会保险的收支预算。目前是全市统筹，由市统一编制、我县不单独编报。</w:t>
      </w:r>
    </w:p>
    <w:p>
      <w:pPr>
        <w:spacing w:line="560" w:lineRule="exact"/>
        <w:ind w:firstLine="640" w:firstLineChars="200"/>
        <w:rPr>
          <w:rFonts w:eastAsia="方正仿宋_GBK"/>
          <w:kern w:val="0"/>
          <w:sz w:val="32"/>
          <w:szCs w:val="32"/>
        </w:rPr>
      </w:pPr>
      <w:r>
        <w:rPr>
          <w:rFonts w:eastAsia="方正黑体_GBK"/>
          <w:kern w:val="0"/>
          <w:sz w:val="32"/>
          <w:szCs w:val="32"/>
        </w:rPr>
        <w:t>债券资金：</w:t>
      </w:r>
      <w:r>
        <w:rPr>
          <w:rFonts w:eastAsia="方正仿宋_GBK"/>
          <w:kern w:val="0"/>
          <w:sz w:val="32"/>
          <w:szCs w:val="32"/>
        </w:rPr>
        <w:t>即地方政府债券资金，是指重庆市政府以政府的信用为基础并承诺偿还本息，自主向社会发行地方政府债券筹集的财政资金。按债券发行类别分为置换债券资金和新增债券资金，按预算管理分为一般债券（纳入一般公共预算管理）和专项债券（纳入政府性基金预算管理）。</w:t>
      </w:r>
    </w:p>
    <w:p>
      <w:pPr>
        <w:spacing w:line="560" w:lineRule="exact"/>
        <w:ind w:firstLine="640" w:firstLineChars="200"/>
        <w:rPr>
          <w:rFonts w:eastAsia="方正仿宋_GBK"/>
          <w:kern w:val="0"/>
          <w:sz w:val="32"/>
          <w:szCs w:val="32"/>
        </w:rPr>
      </w:pPr>
      <w:r>
        <w:rPr>
          <w:rFonts w:eastAsia="方正黑体_GBK"/>
          <w:kern w:val="0"/>
          <w:sz w:val="32"/>
          <w:szCs w:val="32"/>
        </w:rPr>
        <w:t>三公经费</w:t>
      </w:r>
      <w:r>
        <w:rPr>
          <w:rFonts w:eastAsia="方正仿宋_GBK"/>
          <w:kern w:val="0"/>
          <w:sz w:val="32"/>
          <w:szCs w:val="32"/>
        </w:rPr>
        <w:t>：指政府部门公务出国（境）经费、公务车购置及运行费、公务接待费。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 w:cs="Times New Roman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085D4D"/>
    <w:multiLevelType w:val="singleLevel"/>
    <w:tmpl w:val="B0085D4D"/>
    <w:lvl w:ilvl="0" w:tentative="0">
      <w:start w:val="1"/>
      <w:numFmt w:val="decimal"/>
      <w:suff w:val="space"/>
      <w:lvlText w:val="%1."/>
      <w:lvlJc w:val="left"/>
      <w:pPr>
        <w:ind w:left="640" w:firstLine="0"/>
      </w:pPr>
    </w:lvl>
  </w:abstractNum>
  <w:abstractNum w:abstractNumId="1">
    <w:nsid w:val="B0119CAD"/>
    <w:multiLevelType w:val="singleLevel"/>
    <w:tmpl w:val="B0119CA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D33F6B74"/>
    <w:multiLevelType w:val="singleLevel"/>
    <w:tmpl w:val="D33F6B74"/>
    <w:lvl w:ilvl="0" w:tentative="0">
      <w:start w:val="1"/>
      <w:numFmt w:val="decimal"/>
      <w:suff w:val="space"/>
      <w:lvlText w:val="%1."/>
      <w:lvlJc w:val="left"/>
      <w:pPr>
        <w:ind w:left="640" w:firstLine="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lMTI0ZmZkNWVkNDk2ZTg4NWYwOTQyMjQxMmY4NGEifQ=="/>
  </w:docVars>
  <w:rsids>
    <w:rsidRoot w:val="003C5D59"/>
    <w:rsid w:val="00323BF6"/>
    <w:rsid w:val="00325422"/>
    <w:rsid w:val="003C5D59"/>
    <w:rsid w:val="00436BEF"/>
    <w:rsid w:val="005C716D"/>
    <w:rsid w:val="00776BF3"/>
    <w:rsid w:val="00866A66"/>
    <w:rsid w:val="00941616"/>
    <w:rsid w:val="00953237"/>
    <w:rsid w:val="00B90839"/>
    <w:rsid w:val="00D662AB"/>
    <w:rsid w:val="00D7749F"/>
    <w:rsid w:val="00F9294A"/>
    <w:rsid w:val="00FA0688"/>
    <w:rsid w:val="0A8B57B1"/>
    <w:rsid w:val="14AE3955"/>
    <w:rsid w:val="1A8B286B"/>
    <w:rsid w:val="246A1BDB"/>
    <w:rsid w:val="2ACC6443"/>
    <w:rsid w:val="31B04609"/>
    <w:rsid w:val="33E42EB3"/>
    <w:rsid w:val="36E102F4"/>
    <w:rsid w:val="3DD83981"/>
    <w:rsid w:val="429C44BC"/>
    <w:rsid w:val="43BB3965"/>
    <w:rsid w:val="47152B0E"/>
    <w:rsid w:val="49111921"/>
    <w:rsid w:val="49EF5898"/>
    <w:rsid w:val="4F27060C"/>
    <w:rsid w:val="53C8376E"/>
    <w:rsid w:val="56235C83"/>
    <w:rsid w:val="61854D9F"/>
    <w:rsid w:val="67221112"/>
    <w:rsid w:val="6EB40F59"/>
    <w:rsid w:val="74262445"/>
    <w:rsid w:val="74AD4C27"/>
    <w:rsid w:val="EF79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nhideWhenUsed="0" w:uiPriority="0" w:semiHidden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99"/>
    <w:pPr>
      <w:spacing w:after="120" w:line="240" w:lineRule="atLeast"/>
    </w:pPr>
    <w:rPr>
      <w:rFonts w:ascii="Times New Roman" w:hAnsi="Times New Roman" w:eastAsia="仿宋_GB2312"/>
      <w:spacing w:val="-6"/>
      <w:szCs w:val="20"/>
    </w:rPr>
  </w:style>
  <w:style w:type="paragraph" w:styleId="3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autoRedefine/>
    <w:qFormat/>
    <w:uiPriority w:val="0"/>
    <w:rPr>
      <w:b/>
    </w:rPr>
  </w:style>
  <w:style w:type="character" w:customStyle="1" w:styleId="9">
    <w:name w:val="页眉 字符"/>
    <w:basedOn w:val="7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7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251</Words>
  <Characters>1431</Characters>
  <Lines>11</Lines>
  <Paragraphs>3</Paragraphs>
  <TotalTime>2</TotalTime>
  <ScaleCrop>false</ScaleCrop>
  <LinksUpToDate>false</LinksUpToDate>
  <CharactersWithSpaces>1679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2024-02-19T11:43:00Z</dcterms:created>
  <dc:creator>Administrator</dc:creator>
  <cp:lastModifiedBy>温星星</cp:lastModifiedBy>
  <dcterms:modified xsi:type="dcterms:W3CDTF">2024-04-07T01:08:43Z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C35C9C7062D94155A86473C0DC70F5E5_13</vt:lpwstr>
  </property>
</Properties>
</file>