
<file path=[Content_Types].xml><?xml version="1.0" encoding="utf-8"?>
<Types xmlns="http://schemas.openxmlformats.org/package/2006/content-types">
  <Default Extension="xml" ContentType="application/xml"/>
  <Default Extension="xlsx" ContentType="application/vnd.openxmlformats-officedocument.spreadsheetml.sheet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line="240" w:lineRule="auto"/>
        <w:ind w:left="0" w:leftChars="0" w:firstLine="0" w:firstLineChars="0"/>
        <w:jc w:val="center"/>
        <w:rPr>
          <w:rFonts w:hint="eastAsia" w:ascii="方正小标宋_GBK" w:eastAsia="方正小标宋_GBK"/>
          <w:sz w:val="44"/>
        </w:rPr>
      </w:pPr>
      <w:r>
        <w:rPr>
          <w:rFonts w:hint="eastAsia" w:ascii="方正小标宋_GBK" w:eastAsia="方正小标宋_GBK"/>
          <w:sz w:val="44"/>
        </w:rPr>
        <w:t>丰都县2024年国民经济和社会发展</w:t>
      </w:r>
    </w:p>
    <w:p>
      <w:pPr>
        <w:pStyle w:val="4"/>
        <w:spacing w:line="240" w:lineRule="auto"/>
        <w:ind w:left="0" w:leftChars="0" w:firstLine="0" w:firstLineChars="0"/>
        <w:jc w:val="center"/>
        <w:rPr>
          <w:rFonts w:hint="eastAsia" w:ascii="方正小标宋_GBK" w:eastAsia="方正小标宋_GBK"/>
          <w:sz w:val="44"/>
        </w:rPr>
      </w:pPr>
      <w:r>
        <w:rPr>
          <w:rFonts w:hint="eastAsia" w:ascii="方正小标宋_GBK" w:eastAsia="方正小标宋_GBK"/>
          <w:sz w:val="44"/>
        </w:rPr>
        <w:t>统  计  公  报</w:t>
      </w:r>
    </w:p>
    <w:p>
      <w:pPr>
        <w:spacing w:line="579" w:lineRule="exact"/>
        <w:ind w:left="67" w:firstLine="0" w:firstLineChars="0"/>
        <w:jc w:val="center"/>
        <w:rPr>
          <w:rFonts w:ascii="Times New Roman" w:hAnsi="Times New Roman" w:eastAsia="方正楷体_GBK"/>
          <w:sz w:val="32"/>
          <w:szCs w:val="32"/>
        </w:rPr>
      </w:pPr>
    </w:p>
    <w:p>
      <w:pPr>
        <w:spacing w:line="579" w:lineRule="exact"/>
        <w:ind w:left="67" w:firstLine="0" w:firstLineChars="0"/>
        <w:jc w:val="center"/>
        <w:rPr>
          <w:rFonts w:ascii="Times New Roman" w:hAnsi="Times New Roman" w:eastAsia="方正楷体_GBK"/>
          <w:spacing w:val="23"/>
          <w:sz w:val="32"/>
          <w:szCs w:val="32"/>
        </w:rPr>
      </w:pPr>
      <w:r>
        <w:rPr>
          <w:rFonts w:hint="eastAsia" w:ascii="Times New Roman" w:hAnsi="Times New Roman" w:eastAsia="方正楷体_GBK"/>
          <w:spacing w:val="23"/>
          <w:sz w:val="32"/>
          <w:szCs w:val="32"/>
        </w:rPr>
        <w:t>丰 都 县 统 计 局</w:t>
      </w:r>
    </w:p>
    <w:p>
      <w:pPr>
        <w:spacing w:line="579" w:lineRule="exact"/>
        <w:ind w:left="67" w:firstLine="0" w:firstLineChars="0"/>
        <w:jc w:val="center"/>
        <w:rPr>
          <w:rFonts w:ascii="Times New Roman" w:hAnsi="Times New Roman" w:eastAsia="方正楷体_GBK"/>
          <w:sz w:val="32"/>
          <w:szCs w:val="32"/>
        </w:rPr>
      </w:pPr>
      <w:r>
        <w:rPr>
          <w:rFonts w:hint="eastAsia" w:ascii="Times New Roman" w:hAnsi="Times New Roman" w:eastAsia="方正楷体_GBK"/>
          <w:sz w:val="32"/>
          <w:szCs w:val="32"/>
        </w:rPr>
        <w:t>国家统计局丰都调查队</w:t>
      </w:r>
    </w:p>
    <w:p>
      <w:pPr>
        <w:spacing w:line="579" w:lineRule="exact"/>
        <w:ind w:left="67" w:firstLine="0" w:firstLineChars="0"/>
        <w:jc w:val="center"/>
        <w:rPr>
          <w:rFonts w:ascii="Times New Roman" w:hAnsi="Times New Roman" w:eastAsia="方正楷体_GBK"/>
          <w:sz w:val="32"/>
          <w:szCs w:val="32"/>
        </w:rPr>
      </w:pPr>
      <w:r>
        <w:rPr>
          <w:rFonts w:hint="eastAsia" w:ascii="Times New Roman" w:hAnsi="Times New Roman" w:eastAsia="方正楷体_GBK"/>
          <w:sz w:val="32"/>
          <w:szCs w:val="32"/>
        </w:rPr>
        <w:t>2025年3月</w:t>
      </w:r>
      <w:r>
        <w:rPr>
          <w:rFonts w:hint="eastAsia" w:ascii="Times New Roman" w:hAnsi="Times New Roman" w:eastAsia="方正楷体_GBK"/>
          <w:sz w:val="32"/>
          <w:szCs w:val="32"/>
          <w:lang w:val="en-US" w:eastAsia="zh-CN"/>
        </w:rPr>
        <w:t>18</w:t>
      </w:r>
      <w:r>
        <w:rPr>
          <w:rFonts w:hint="eastAsia" w:ascii="Times New Roman" w:hAnsi="Times New Roman" w:eastAsia="方正楷体_GBK"/>
          <w:sz w:val="32"/>
          <w:szCs w:val="32"/>
        </w:rPr>
        <w:t>日</w:t>
      </w:r>
    </w:p>
    <w:p>
      <w:pPr>
        <w:pStyle w:val="4"/>
      </w:pPr>
    </w:p>
    <w:p>
      <w:pPr>
        <w:spacing w:line="579" w:lineRule="exact"/>
        <w:ind w:left="67" w:firstLine="640"/>
        <w:jc w:val="both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202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4</w:t>
      </w:r>
      <w:r>
        <w:rPr>
          <w:rFonts w:ascii="Times New Roman" w:hAnsi="Times New Roman" w:eastAsia="方正仿宋_GBK" w:cs="Times New Roman"/>
          <w:sz w:val="32"/>
          <w:szCs w:val="32"/>
        </w:rPr>
        <w:t>年，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全县上下坚持以习近平新时代中国特色社会主义思想为指导</w:t>
      </w:r>
      <w:r>
        <w:rPr>
          <w:rFonts w:ascii="Times New Roman" w:hAnsi="Times New Roman" w:eastAsia="方正仿宋_GBK" w:cs="Times New Roman"/>
          <w:sz w:val="32"/>
          <w:szCs w:val="32"/>
        </w:rPr>
        <w:t>，全面贯彻党的二十大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和二十届二中、三中全会</w:t>
      </w:r>
      <w:r>
        <w:rPr>
          <w:rFonts w:ascii="Times New Roman" w:hAnsi="Times New Roman" w:eastAsia="方正仿宋_GBK" w:cs="Times New Roman"/>
          <w:sz w:val="32"/>
          <w:szCs w:val="32"/>
        </w:rPr>
        <w:t>精神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，认真落实市委六届五次、六次全会和县委工作部署，</w:t>
      </w:r>
      <w:r>
        <w:rPr>
          <w:rFonts w:hint="eastAsia" w:ascii="Times New Roman" w:hAnsi="Times New Roman" w:eastAsia="方正仿宋_GBK" w:cs="Times New Roman"/>
          <w:bCs/>
          <w:sz w:val="32"/>
          <w:szCs w:val="32"/>
        </w:rPr>
        <w:t>积极融入新发展格局，扎实推动高质量发展，全县经济社会保持平稳健康发展。</w:t>
      </w:r>
    </w:p>
    <w:p>
      <w:pPr>
        <w:widowControl/>
        <w:spacing w:line="579" w:lineRule="exact"/>
        <w:ind w:left="67" w:firstLine="640"/>
        <w:jc w:val="both"/>
        <w:rPr>
          <w:rFonts w:ascii="Times New Roman" w:hAnsi="Times New Roman" w:eastAsia="方正黑体_GBK" w:cs="方正黑体_GBK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黑体_GBK" w:cs="方正黑体_GBK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一、综合</w:t>
      </w:r>
    </w:p>
    <w:p>
      <w:pPr>
        <w:spacing w:line="579" w:lineRule="exact"/>
        <w:ind w:left="67" w:right="-1" w:firstLine="640"/>
        <w:jc w:val="both"/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初步核算，全年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实现</w:t>
      </w:r>
      <w:r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地区生产总值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4284129</w:t>
      </w:r>
      <w:r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万元，比上年增长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6.6%</w:t>
      </w:r>
      <w:r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按产业分</w:t>
      </w:r>
      <w:r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，第一产业增加值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573822</w:t>
      </w:r>
      <w:r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万元，比上年增长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2.5%</w:t>
      </w:r>
      <w:r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；第二产业增加值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1506481</w:t>
      </w:r>
      <w:r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万元，比上年增长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5.8%</w:t>
      </w:r>
      <w:r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；第三产业增加值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2203826</w:t>
      </w:r>
      <w:r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万元，比上年增长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8.3%</w:t>
      </w:r>
      <w:r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。三次产业结构比为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13.4：35.2：51.4</w:t>
      </w:r>
      <w:r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pStyle w:val="4"/>
      </w:pPr>
    </w:p>
    <w:p>
      <w:pPr>
        <w:pStyle w:val="4"/>
        <w:rPr>
          <w:color w:val="FF0000"/>
        </w:rPr>
      </w:pPr>
      <w:r>
        <w:rPr>
          <w:rFonts w:hint="eastAsia"/>
        </w:rPr>
        <w:t>图1  2020-2024年全县地区生产总值及其增长速度</w:t>
      </w:r>
    </w:p>
    <w:p>
      <w:pPr>
        <w:pStyle w:val="4"/>
      </w:pPr>
      <w:r>
        <w:rPr>
          <w:rFonts w:hint="eastAsia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198755</wp:posOffset>
            </wp:positionH>
            <wp:positionV relativeFrom="paragraph">
              <wp:posOffset>252095</wp:posOffset>
            </wp:positionV>
            <wp:extent cx="5196205" cy="2906395"/>
            <wp:effectExtent l="19050" t="0" r="23322" b="8371"/>
            <wp:wrapNone/>
            <wp:docPr id="1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anchor>
        </w:drawing>
      </w:r>
    </w:p>
    <w:p>
      <w:pPr>
        <w:pStyle w:val="4"/>
      </w:pPr>
    </w:p>
    <w:p>
      <w:pPr>
        <w:pStyle w:val="4"/>
      </w:pPr>
    </w:p>
    <w:p>
      <w:pPr>
        <w:pStyle w:val="4"/>
      </w:pPr>
    </w:p>
    <w:p>
      <w:pPr>
        <w:pStyle w:val="4"/>
      </w:pPr>
    </w:p>
    <w:p>
      <w:pPr>
        <w:pStyle w:val="4"/>
      </w:pPr>
    </w:p>
    <w:p>
      <w:pPr>
        <w:pStyle w:val="4"/>
      </w:pPr>
    </w:p>
    <w:p>
      <w:pPr>
        <w:pStyle w:val="4"/>
      </w:pPr>
    </w:p>
    <w:p>
      <w:pPr>
        <w:pStyle w:val="4"/>
      </w:pPr>
    </w:p>
    <w:p>
      <w:pPr>
        <w:pStyle w:val="4"/>
        <w:jc w:val="both"/>
      </w:pPr>
      <w:r>
        <w:t>年末全县户籍人口784030人。按城乡分，城镇人口243232人，乡村人口540798人。按性别分，男性人口407536人，女性人口376494人，人口性别比（以女性为100，男性对女性的比例，下同）为108。全年出生人口4019人，人口出生率5.11‰，死亡人口6293人，人口死亡率8.00‰，人口自然增长率-2.89‰。全年迁入人口4016人，迁出人口7373人。</w:t>
      </w:r>
    </w:p>
    <w:p>
      <w:pPr>
        <w:pStyle w:val="4"/>
        <w:jc w:val="both"/>
      </w:pPr>
      <w:r>
        <w:rPr>
          <w:rFonts w:hint="eastAsia"/>
        </w:rPr>
        <w:t>年末全县常住人口54.05万人，其中，城镇常住人口28.37万人。常住人口城镇化率为52.49%，比上年末提高0.6个百分点。</w:t>
      </w:r>
    </w:p>
    <w:p>
      <w:pPr>
        <w:pStyle w:val="4"/>
        <w:jc w:val="both"/>
        <w:rPr>
          <w:color w:val="FF0000"/>
        </w:rPr>
      </w:pPr>
      <w:r>
        <w:rPr>
          <w:rFonts w:hint="eastAsia"/>
        </w:rPr>
        <w:t>全年城镇新增就业人员6115人，比上年增长0.9%。年末城镇登记失业人员2092人，全年城镇调查失业率平均值为5.4%。</w:t>
      </w:r>
    </w:p>
    <w:p>
      <w:pPr>
        <w:pStyle w:val="4"/>
        <w:jc w:val="both"/>
        <w:rPr>
          <w:color w:val="FF0000"/>
        </w:rPr>
      </w:pPr>
      <w:r>
        <w:rPr>
          <w:rFonts w:hint="eastAsia"/>
        </w:rPr>
        <w:t>全县各类市场主体70780户，其中企业13675户，个体工商户54956户；新增市场主体6435户，其中企业1483户，个体工商户4736户。</w:t>
      </w:r>
    </w:p>
    <w:p>
      <w:pPr>
        <w:widowControl/>
        <w:spacing w:line="579" w:lineRule="exact"/>
        <w:ind w:left="67" w:firstLine="640"/>
        <w:jc w:val="both"/>
        <w:rPr>
          <w:rFonts w:ascii="Times New Roman" w:hAnsi="Times New Roman" w:eastAsia="方正黑体_GBK" w:cs="方正黑体_GBK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黑体_GBK" w:cs="方正黑体_GBK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二、农业</w:t>
      </w:r>
    </w:p>
    <w:p>
      <w:pPr>
        <w:pStyle w:val="4"/>
        <w:jc w:val="both"/>
      </w:pPr>
      <w:r>
        <w:t>全年农林牧渔业增加值</w:t>
      </w:r>
      <w:r>
        <w:rPr>
          <w:rFonts w:hint="eastAsia"/>
        </w:rPr>
        <w:t>592080万</w:t>
      </w:r>
      <w:r>
        <w:t>元，比上年增长</w:t>
      </w:r>
      <w:r>
        <w:rPr>
          <w:rFonts w:hint="eastAsia"/>
        </w:rPr>
        <w:t>2.8</w:t>
      </w:r>
      <w:r>
        <w:t>%。农林牧渔业总产值</w:t>
      </w:r>
      <w:r>
        <w:rPr>
          <w:rFonts w:hint="eastAsia"/>
        </w:rPr>
        <w:t>922440</w:t>
      </w:r>
      <w:r>
        <w:t>万元，比上年增长</w:t>
      </w:r>
      <w:r>
        <w:rPr>
          <w:rFonts w:hint="eastAsia"/>
        </w:rPr>
        <w:t>2.9</w:t>
      </w:r>
      <w:r>
        <w:t>%。</w:t>
      </w:r>
    </w:p>
    <w:p>
      <w:pPr>
        <w:pStyle w:val="4"/>
        <w:jc w:val="both"/>
      </w:pPr>
      <w:r>
        <w:rPr>
          <w:rFonts w:hint="eastAsia"/>
        </w:rPr>
        <w:t>全年粮食播种面积100.8万。粮食综合单产332.5公斤/亩，增长0.2%。全年粮食总产量33.5万吨，增长0.5%。其中，夏粮产量4.2万吨，增长0.5%；秋粮产量29.3万吨，增长0.5%。全年谷物产量22.7万吨，增长0.5%。其中，稻谷产量13.7万吨，下降0.1%；玉米产量8.9万吨，增长1.7%；小麦产量0.2万吨，较上年持平。</w:t>
      </w:r>
      <w:r>
        <w:t>全年猪牛羊禽肉产量</w:t>
      </w:r>
      <w:r>
        <w:rPr>
          <w:rFonts w:hint="eastAsia"/>
        </w:rPr>
        <w:t>7.5万</w:t>
      </w:r>
      <w:r>
        <w:t>吨，</w:t>
      </w:r>
      <w:r>
        <w:rPr>
          <w:rFonts w:hint="eastAsia"/>
        </w:rPr>
        <w:t>下降6.4</w:t>
      </w:r>
      <w:r>
        <w:t>%。年末生猪存栏</w:t>
      </w:r>
      <w:r>
        <w:rPr>
          <w:rFonts w:hint="eastAsia"/>
        </w:rPr>
        <w:t>32.1万</w:t>
      </w:r>
      <w:r>
        <w:t>头，</w:t>
      </w:r>
      <w:r>
        <w:rPr>
          <w:rFonts w:hint="eastAsia"/>
        </w:rPr>
        <w:t>下降13.9</w:t>
      </w:r>
      <w:r>
        <w:t>%；生猪出栏</w:t>
      </w:r>
      <w:r>
        <w:rPr>
          <w:rFonts w:hint="eastAsia"/>
        </w:rPr>
        <w:t>51.0万</w:t>
      </w:r>
      <w:r>
        <w:t>头，</w:t>
      </w:r>
      <w:r>
        <w:rPr>
          <w:rFonts w:hint="eastAsia"/>
        </w:rPr>
        <w:t>下降11.1</w:t>
      </w:r>
      <w:r>
        <w:t>%。</w:t>
      </w:r>
    </w:p>
    <w:p>
      <w:pPr>
        <w:pStyle w:val="4"/>
      </w:pPr>
    </w:p>
    <w:p>
      <w:pPr>
        <w:pStyle w:val="4"/>
      </w:pPr>
      <w:r>
        <w:rPr>
          <w:rFonts w:hint="eastAsia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6350</wp:posOffset>
            </wp:positionH>
            <wp:positionV relativeFrom="paragraph">
              <wp:posOffset>594360</wp:posOffset>
            </wp:positionV>
            <wp:extent cx="5492750" cy="3130550"/>
            <wp:effectExtent l="19050" t="0" r="12700" b="0"/>
            <wp:wrapSquare wrapText="bothSides"/>
            <wp:docPr id="3" name="图表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anchor>
        </w:drawing>
      </w:r>
      <w:r>
        <w:rPr>
          <w:rFonts w:hint="eastAsia"/>
        </w:rPr>
        <w:t>图2  2024年农林牧渔业总产值各产业构成</w:t>
      </w:r>
    </w:p>
    <w:p>
      <w:pPr>
        <w:widowControl/>
        <w:spacing w:line="579" w:lineRule="exact"/>
        <w:ind w:left="67" w:firstLine="640"/>
        <w:jc w:val="both"/>
        <w:rPr>
          <w:rFonts w:ascii="Times New Roman" w:hAnsi="Times New Roman" w:eastAsia="方正黑体_GBK" w:cs="方正黑体_GBK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黑体_GBK" w:cs="方正黑体_GBK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三、工业和建筑业</w:t>
      </w:r>
    </w:p>
    <w:p>
      <w:pPr>
        <w:pStyle w:val="4"/>
        <w:jc w:val="both"/>
      </w:pPr>
      <w:r>
        <w:t>全年工业增加值</w:t>
      </w:r>
      <w:r>
        <w:rPr>
          <w:rFonts w:hint="eastAsia"/>
        </w:rPr>
        <w:t>645647</w:t>
      </w:r>
      <w:r>
        <w:t>万元，比上年增长</w:t>
      </w:r>
      <w:r>
        <w:rPr>
          <w:rFonts w:hint="eastAsia"/>
        </w:rPr>
        <w:t>4.3</w:t>
      </w:r>
      <w:r>
        <w:t>%，占地区生产总值的</w:t>
      </w:r>
      <w:r>
        <w:rPr>
          <w:rFonts w:hint="eastAsia"/>
        </w:rPr>
        <w:t>比重为15.1</w:t>
      </w:r>
      <w:r>
        <w:t>%。分门类看，采矿业</w:t>
      </w:r>
      <w:r>
        <w:rPr>
          <w:rFonts w:hint="eastAsia"/>
        </w:rPr>
        <w:t>24436</w:t>
      </w:r>
      <w:r>
        <w:t>万元，比上年增长</w:t>
      </w:r>
      <w:r>
        <w:rPr>
          <w:rFonts w:hint="eastAsia"/>
        </w:rPr>
        <w:t>6.2</w:t>
      </w:r>
      <w:r>
        <w:t>%；制</w:t>
      </w:r>
      <w:r>
        <w:rPr>
          <w:rFonts w:hint="eastAsia"/>
        </w:rPr>
        <w:t>造</w:t>
      </w:r>
      <w:r>
        <w:t>业</w:t>
      </w:r>
      <w:r>
        <w:rPr>
          <w:rFonts w:hint="eastAsia"/>
        </w:rPr>
        <w:t>522240</w:t>
      </w:r>
      <w:r>
        <w:t>万元，比上年增长</w:t>
      </w:r>
      <w:r>
        <w:rPr>
          <w:rFonts w:hint="eastAsia"/>
        </w:rPr>
        <w:t>3.8</w:t>
      </w:r>
      <w:r>
        <w:t>%；电力、热力、燃气及水生产和供应业</w:t>
      </w:r>
      <w:r>
        <w:rPr>
          <w:rFonts w:hint="eastAsia"/>
        </w:rPr>
        <w:t>98971</w:t>
      </w:r>
      <w:r>
        <w:t>万元，比上年</w:t>
      </w:r>
      <w:r>
        <w:rPr>
          <w:rFonts w:hint="eastAsia"/>
        </w:rPr>
        <w:t>增长7.2</w:t>
      </w:r>
      <w:r>
        <w:t>%。</w:t>
      </w:r>
      <w:r>
        <w:rPr>
          <w:rFonts w:hint="eastAsia"/>
        </w:rPr>
        <w:t>规模以上工业增加值比上年增长5.0%。</w:t>
      </w:r>
    </w:p>
    <w:p>
      <w:pPr>
        <w:pStyle w:val="4"/>
        <w:jc w:val="both"/>
      </w:pPr>
      <w:r>
        <w:t>全年规模以上工业</w:t>
      </w:r>
      <w:r>
        <w:rPr>
          <w:rFonts w:hint="eastAsia"/>
        </w:rPr>
        <w:t>总产值1344216</w:t>
      </w:r>
      <w:r>
        <w:t>万元，比上年</w:t>
      </w:r>
      <w:r>
        <w:rPr>
          <w:rFonts w:hint="eastAsia"/>
        </w:rPr>
        <w:t>增长0.1</w:t>
      </w:r>
      <w:r>
        <w:t>%。</w:t>
      </w:r>
      <w:r>
        <w:rPr>
          <w:rFonts w:hint="eastAsia"/>
        </w:rPr>
        <w:t>分行业看，农副食品加工业增长10.0%，化学原料和化学制品制造业下降5.2%，非金属矿物制品业下降10.1%，通用设备制造业增长6.7%，铁路、船舶、航空航天和其他运输设备制造业下降24.9%，电气机械和器材制造业增长24.3%，电力、热力生产和供应业增长14.6%。</w:t>
      </w:r>
      <w:r>
        <w:t>规模以上工业企业利润总额</w:t>
      </w:r>
      <w:r>
        <w:rPr>
          <w:rFonts w:hint="eastAsia"/>
        </w:rPr>
        <w:t>26424</w:t>
      </w:r>
      <w:r>
        <w:t>万元，比上年下降</w:t>
      </w:r>
      <w:r>
        <w:rPr>
          <w:rFonts w:hint="eastAsia"/>
        </w:rPr>
        <w:t>52.5</w:t>
      </w:r>
      <w:r>
        <w:t>%；</w:t>
      </w:r>
      <w:r>
        <w:rPr>
          <w:rFonts w:hint="eastAsia"/>
        </w:rPr>
        <w:t>应交增值税</w:t>
      </w:r>
      <w:r>
        <w:t>14529万元，比上年增长0.7%</w:t>
      </w:r>
      <w:r>
        <w:rPr>
          <w:rFonts w:hint="eastAsia"/>
        </w:rPr>
        <w:t>。规模以上工业战略性新兴产业产值占规模以上工业产值的比重为8.2%。单位工业增加值能耗比上年下降17.9%。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水电、风电、太阳能发电等清洁能源发电量为12.1亿千瓦时。</w:t>
      </w:r>
    </w:p>
    <w:p>
      <w:pPr>
        <w:pStyle w:val="4"/>
        <w:jc w:val="both"/>
      </w:pPr>
      <w:r>
        <w:t>全年建筑业</w:t>
      </w:r>
      <w:r>
        <w:rPr>
          <w:rFonts w:hint="eastAsia"/>
        </w:rPr>
        <w:t>总产值2840672万元，比上年增长18.3%，建筑业</w:t>
      </w:r>
      <w:r>
        <w:t>增加值</w:t>
      </w:r>
      <w:r>
        <w:rPr>
          <w:rFonts w:hint="eastAsia"/>
        </w:rPr>
        <w:t>863802</w:t>
      </w:r>
      <w:r>
        <w:t>万元，比上年</w:t>
      </w:r>
      <w:r>
        <w:rPr>
          <w:rFonts w:hint="eastAsia"/>
        </w:rPr>
        <w:t>增长7.3</w:t>
      </w:r>
      <w:r>
        <w:t>%。</w:t>
      </w:r>
    </w:p>
    <w:p>
      <w:pPr>
        <w:widowControl/>
        <w:spacing w:line="579" w:lineRule="exact"/>
        <w:ind w:left="67" w:firstLine="640"/>
        <w:jc w:val="both"/>
        <w:rPr>
          <w:rFonts w:ascii="Times New Roman" w:hAnsi="Times New Roman" w:eastAsia="方正黑体_GBK" w:cs="方正黑体_GBK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黑体_GBK" w:cs="方正黑体_GBK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四、服务业</w:t>
      </w:r>
    </w:p>
    <w:p>
      <w:pPr>
        <w:pStyle w:val="4"/>
        <w:jc w:val="both"/>
      </w:pPr>
      <w:r>
        <w:rPr>
          <w:rFonts w:hint="eastAsia"/>
        </w:rPr>
        <w:t>全年批发和零售业增加值396437万元，比上年增长10.1</w:t>
      </w:r>
      <w:r>
        <w:t>%</w:t>
      </w:r>
      <w:r>
        <w:rPr>
          <w:rFonts w:hint="eastAsia"/>
        </w:rPr>
        <w:t>；交通运输、仓储和邮政业增加值158199万元，比上年增长5.7</w:t>
      </w:r>
      <w:r>
        <w:t>%</w:t>
      </w:r>
      <w:r>
        <w:rPr>
          <w:rFonts w:hint="eastAsia"/>
        </w:rPr>
        <w:t>；住宿和餐饮业增加值126726万元，比上年增长8.1</w:t>
      </w:r>
      <w:r>
        <w:t>%</w:t>
      </w:r>
      <w:r>
        <w:rPr>
          <w:rFonts w:hint="eastAsia"/>
        </w:rPr>
        <w:t>；金融业增加值179568万元，比上年增长11.4</w:t>
      </w:r>
      <w:r>
        <w:t>%</w:t>
      </w:r>
      <w:r>
        <w:rPr>
          <w:rFonts w:hint="eastAsia"/>
        </w:rPr>
        <w:t>；房地产业增加值160819万元，比上年下降6.2</w:t>
      </w:r>
      <w:r>
        <w:t>%</w:t>
      </w:r>
      <w:r>
        <w:rPr>
          <w:rFonts w:hint="eastAsia"/>
        </w:rPr>
        <w:t>；其他服务业增加值1160851万元，比上年增长9.9</w:t>
      </w:r>
      <w:r>
        <w:t>%</w:t>
      </w:r>
      <w:r>
        <w:rPr>
          <w:rFonts w:hint="eastAsia"/>
        </w:rPr>
        <w:t>。全年规模以上服务业企业营业收入303669万元，比上年增长72.0</w:t>
      </w:r>
      <w:r>
        <w:t>%</w:t>
      </w:r>
      <w:r>
        <w:rPr>
          <w:rFonts w:hint="eastAsia"/>
        </w:rPr>
        <w:t>。</w:t>
      </w:r>
    </w:p>
    <w:p>
      <w:pPr>
        <w:pStyle w:val="4"/>
        <w:jc w:val="both"/>
      </w:pPr>
      <w:r>
        <w:rPr>
          <w:rFonts w:hint="eastAsia"/>
        </w:rPr>
        <w:t>全年铁路旅客发送里167万人，到达量165万人。全社会货物运输量1564万吨，其中公路591万吨、水路973万吨；货物周转量1188817万吨公里，其中公路38918万吨公里、水路1149899万吨公里。全社会客运583万人次，其中公路559万人次、水路24万人次；旅客周转量31533万人公里，其中公路31247万人公里、水路286万人公里。</w:t>
      </w:r>
    </w:p>
    <w:p>
      <w:pPr>
        <w:pStyle w:val="4"/>
        <w:jc w:val="both"/>
      </w:pPr>
      <w:r>
        <w:rPr>
          <w:rFonts w:hint="eastAsia"/>
        </w:rPr>
        <w:t>全年完成邮政行业寄递业务量23238万件，</w:t>
      </w:r>
      <w:bookmarkStart w:id="0" w:name="OLE_LINK2"/>
      <w:bookmarkStart w:id="1" w:name="OLE_LINK3"/>
      <w:r>
        <w:rPr>
          <w:rFonts w:hint="eastAsia"/>
        </w:rPr>
        <w:t>比上年</w:t>
      </w:r>
      <w:bookmarkEnd w:id="0"/>
      <w:bookmarkEnd w:id="1"/>
      <w:r>
        <w:rPr>
          <w:rFonts w:hint="eastAsia"/>
        </w:rPr>
        <w:t>增长13.8%，邮政行业业务收入累计完成21892万元，增长3.4%。其中，快递业务量累计完成853万件，增长27.7%；快递业务收入累计完成8350万元，增长20.9%。快递业务投递量累计完成3158万件，增长12.0%。</w:t>
      </w:r>
    </w:p>
    <w:p>
      <w:pPr>
        <w:pStyle w:val="4"/>
        <w:jc w:val="both"/>
      </w:pPr>
      <w:r>
        <w:rPr>
          <w:rFonts w:hint="eastAsia"/>
        </w:rPr>
        <w:t>全年完成电信业务总量4.9亿元，比上年增长16.5%。全县电话用户80.6万户，其中，移动电话用户73.2万户。移动互联网用户73.2万户，固定互联网宽带接入用户24.5万户，5G移动电话用户30.8万户。</w:t>
      </w:r>
    </w:p>
    <w:p>
      <w:pPr>
        <w:widowControl/>
        <w:spacing w:line="579" w:lineRule="exact"/>
        <w:ind w:left="67" w:firstLine="640"/>
        <w:jc w:val="both"/>
        <w:rPr>
          <w:rFonts w:ascii="Times New Roman" w:hAnsi="Times New Roman" w:eastAsia="方正黑体_GBK" w:cs="方正黑体_GBK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黑体_GBK" w:cs="方正黑体_GBK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五、国内贸易和对外经济</w:t>
      </w:r>
    </w:p>
    <w:p>
      <w:pPr>
        <w:pStyle w:val="4"/>
        <w:jc w:val="both"/>
        <w:rPr>
          <w:bCs/>
          <w:color w:val="FF0000"/>
        </w:rPr>
      </w:pPr>
      <w:r>
        <w:t>全年社会消费品零售总额</w:t>
      </w:r>
      <w:r>
        <w:rPr>
          <w:rFonts w:hint="eastAsia"/>
        </w:rPr>
        <w:t>2665133</w:t>
      </w:r>
      <w:r>
        <w:t>万元，比上年增长</w:t>
      </w:r>
      <w:r>
        <w:rPr>
          <w:rFonts w:hint="eastAsia"/>
        </w:rPr>
        <w:t>5.1</w:t>
      </w:r>
      <w:r>
        <w:t>%。</w:t>
      </w:r>
    </w:p>
    <w:p>
      <w:pPr>
        <w:pStyle w:val="4"/>
        <w:jc w:val="both"/>
      </w:pPr>
      <w:r>
        <w:rPr>
          <w:rFonts w:hint="eastAsia"/>
        </w:rPr>
        <w:t>在限额以上单位中，粮油、食品类商品零售额比上年增长19.1%，饮料类商品增长11%，烟酒类商品下降4.1%，服装、鞋帽、针纺织品类商品增长16.9%，化妆品类商品下降3.4%，家用电器和音像器材类商品增长6.8%，中西药品类商品下降52.3%，文化办公用品类商品增长5.6%，家具类商品下降17.4%，通讯器材类商品增长11.5%，建筑及装潢材料类商品增长15.1%，石油及制品类商品增长13.4%，汽车类商品增长9.6%。</w:t>
      </w:r>
    </w:p>
    <w:p>
      <w:pPr>
        <w:pBdr>
          <w:right w:val="single" w:color="DDDDDD" w:sz="6" w:space="4"/>
        </w:pBdr>
        <w:shd w:val="clear" w:color="auto" w:fill="FFFFFF"/>
        <w:autoSpaceDN w:val="0"/>
        <w:spacing w:line="633" w:lineRule="exact"/>
        <w:ind w:left="67" w:firstLine="640"/>
        <w:jc w:val="both"/>
        <w:rPr>
          <w:rFonts w:ascii="Times New Roman" w:hAnsi="Times New Roman" w:eastAsia="方正仿宋_GBK" w:cs="Times New Roman"/>
          <w:b/>
          <w:color w:val="FF000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>全年</w:t>
      </w:r>
      <w:bookmarkStart w:id="2" w:name="OLE_LINK1"/>
      <w:r>
        <w:rPr>
          <w:rFonts w:hint="eastAsia" w:ascii="Times New Roman" w:hAnsi="Times New Roman" w:eastAsia="方正仿宋_GBK" w:cs="Times New Roman"/>
          <w:sz w:val="32"/>
          <w:szCs w:val="32"/>
        </w:rPr>
        <w:t>外贸进出口总额4774万美元，比上年增长84.9%。其中，出口1217万美元，比上年增长28.3%；进口3557万美元，比上年增长117.7%。</w:t>
      </w:r>
      <w:bookmarkEnd w:id="2"/>
    </w:p>
    <w:p>
      <w:pPr>
        <w:widowControl/>
        <w:spacing w:line="579" w:lineRule="exact"/>
        <w:ind w:left="67" w:firstLine="640"/>
        <w:jc w:val="both"/>
        <w:rPr>
          <w:rFonts w:ascii="Times New Roman" w:hAnsi="Times New Roman" w:eastAsia="方正黑体_GBK" w:cs="方正黑体_GBK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黑体_GBK" w:cs="方正黑体_GBK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六、固定资产投资</w:t>
      </w:r>
    </w:p>
    <w:p>
      <w:pPr>
        <w:pStyle w:val="4"/>
        <w:jc w:val="both"/>
      </w:pPr>
      <w:bookmarkStart w:id="3" w:name="_Hlk33630574"/>
      <w:r>
        <w:t>全年固定资产投资</w:t>
      </w:r>
      <w:r>
        <w:rPr>
          <w:rFonts w:hint="eastAsia"/>
        </w:rPr>
        <w:t>总额</w:t>
      </w:r>
      <w:r>
        <w:t>比上年增长</w:t>
      </w:r>
      <w:r>
        <w:rPr>
          <w:rFonts w:hint="eastAsia"/>
        </w:rPr>
        <w:t>18.8</w:t>
      </w:r>
      <w:r>
        <w:t>%。</w:t>
      </w:r>
      <w:r>
        <w:rPr>
          <w:rFonts w:hint="eastAsia"/>
        </w:rPr>
        <w:t>其中，基础设施投资增长81.4</w:t>
      </w:r>
      <w:r>
        <w:t>%</w:t>
      </w:r>
      <w:r>
        <w:rPr>
          <w:rFonts w:hint="eastAsia"/>
        </w:rPr>
        <w:t>，工业投资增长57.8</w:t>
      </w:r>
      <w:r>
        <w:t>%</w:t>
      </w:r>
      <w:r>
        <w:rPr>
          <w:rFonts w:hint="eastAsia"/>
        </w:rPr>
        <w:t>，民间投资增长41.7</w:t>
      </w:r>
      <w:r>
        <w:t>%</w:t>
      </w:r>
      <w:r>
        <w:rPr>
          <w:rFonts w:hint="eastAsia"/>
        </w:rPr>
        <w:t>。</w:t>
      </w:r>
      <w:r>
        <w:t>分产业看，第一产业投资</w:t>
      </w:r>
      <w:r>
        <w:rPr>
          <w:rFonts w:hint="eastAsia"/>
        </w:rPr>
        <w:t>下降56.4</w:t>
      </w:r>
      <w:r>
        <w:t>%；第二产业投资</w:t>
      </w:r>
      <w:r>
        <w:rPr>
          <w:rFonts w:hint="eastAsia"/>
        </w:rPr>
        <w:t>增长57.8</w:t>
      </w:r>
      <w:r>
        <w:t>%；第三产业投资增长</w:t>
      </w:r>
      <w:r>
        <w:rPr>
          <w:rFonts w:hint="eastAsia"/>
        </w:rPr>
        <w:t>19.5</w:t>
      </w:r>
      <w:r>
        <w:t>%</w:t>
      </w:r>
      <w:r>
        <w:rPr>
          <w:rFonts w:hint="eastAsia"/>
        </w:rPr>
        <w:t>。全年</w:t>
      </w:r>
      <w:r>
        <w:t>房地产开发投资</w:t>
      </w:r>
      <w:r>
        <w:rPr>
          <w:rFonts w:hint="eastAsia"/>
        </w:rPr>
        <w:t>553944</w:t>
      </w:r>
      <w:r>
        <w:t>万元，比上年</w:t>
      </w:r>
      <w:r>
        <w:rPr>
          <w:rFonts w:hint="eastAsia"/>
        </w:rPr>
        <w:t>下降3.2</w:t>
      </w:r>
      <w:r>
        <w:t>%。</w:t>
      </w:r>
      <w:r>
        <w:rPr>
          <w:rFonts w:hint="eastAsia"/>
        </w:rPr>
        <w:t>高技术投资增长126.8%，占固定资产投资的比重为6.1%。</w:t>
      </w:r>
    </w:p>
    <w:bookmarkEnd w:id="3"/>
    <w:p>
      <w:pPr>
        <w:pStyle w:val="4"/>
        <w:jc w:val="both"/>
      </w:pPr>
      <w:r>
        <w:t>全年房地产企业商品房施工面积</w:t>
      </w:r>
      <w:r>
        <w:rPr>
          <w:rFonts w:hint="eastAsia"/>
        </w:rPr>
        <w:t>70.2</w:t>
      </w:r>
      <w:r>
        <w:t>万平方米，比上年</w:t>
      </w:r>
      <w:r>
        <w:rPr>
          <w:rFonts w:hint="eastAsia"/>
        </w:rPr>
        <w:t>下降3.0</w:t>
      </w:r>
      <w:r>
        <w:t>%。商品房销售面积</w:t>
      </w:r>
      <w:r>
        <w:rPr>
          <w:rFonts w:hint="eastAsia"/>
        </w:rPr>
        <w:t>40.4</w:t>
      </w:r>
      <w:r>
        <w:t>万平方米,比上</w:t>
      </w:r>
      <w:r>
        <w:rPr>
          <w:rFonts w:hint="eastAsia"/>
        </w:rPr>
        <w:t>年下降39.5</w:t>
      </w:r>
      <w:r>
        <w:t>%</w:t>
      </w:r>
      <w:r>
        <w:rPr>
          <w:rFonts w:hint="eastAsia"/>
        </w:rPr>
        <w:t>，</w:t>
      </w:r>
      <w:r>
        <w:t>其中住宅</w:t>
      </w:r>
      <w:r>
        <w:rPr>
          <w:rFonts w:hint="eastAsia"/>
        </w:rPr>
        <w:t>30.3</w:t>
      </w:r>
      <w:r>
        <w:t>万平方米，</w:t>
      </w:r>
      <w:r>
        <w:rPr>
          <w:rFonts w:hint="eastAsia"/>
        </w:rPr>
        <w:t>下降42.4</w:t>
      </w:r>
      <w:r>
        <w:t>%。</w:t>
      </w:r>
    </w:p>
    <w:p>
      <w:pPr>
        <w:pStyle w:val="4"/>
      </w:pPr>
      <w:r>
        <w:rPr>
          <w:rFonts w:hint="eastAsia"/>
        </w:rPr>
        <w:t>表1  2024年商品房建筑与销售主要指标及其增长速度</w:t>
      </w:r>
    </w:p>
    <w:tbl>
      <w:tblPr>
        <w:tblStyle w:val="8"/>
        <w:tblW w:w="8678" w:type="dxa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61"/>
        <w:gridCol w:w="3109"/>
        <w:gridCol w:w="2208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3361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67" w:firstLine="0" w:firstLineChars="0"/>
              <w:jc w:val="both"/>
              <w:rPr>
                <w:rFonts w:ascii="Times New Roman" w:hAnsi="Times New Roman" w:eastAsia="方正仿宋_GBK" w:cs="Times New Roman"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</w:rPr>
              <w:t>指 标 名 称</w:t>
            </w:r>
          </w:p>
        </w:tc>
        <w:tc>
          <w:tcPr>
            <w:tcW w:w="310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67" w:firstLine="0" w:firstLineChars="0"/>
              <w:jc w:val="center"/>
              <w:rPr>
                <w:rFonts w:ascii="Times New Roman" w:hAnsi="Times New Roman" w:eastAsia="方正仿宋_GBK" w:cs="Times New Roman"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</w:rPr>
              <w:t>绝对值</w:t>
            </w:r>
          </w:p>
        </w:tc>
        <w:tc>
          <w:tcPr>
            <w:tcW w:w="2208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67" w:firstLine="0" w:firstLineChars="0"/>
              <w:jc w:val="both"/>
              <w:rPr>
                <w:rFonts w:ascii="Times New Roman" w:hAnsi="Times New Roman" w:eastAsia="方正仿宋_GBK" w:cs="Times New Roman"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</w:rPr>
              <w:t>比上年增长（%）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3361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67" w:firstLine="0" w:firstLineChars="0"/>
              <w:jc w:val="both"/>
              <w:rPr>
                <w:rFonts w:ascii="Times New Roman" w:hAnsi="Times New Roman" w:eastAsia="方正仿宋_GBK" w:cs="Times New Roman"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</w:rPr>
              <w:t>施工面积（平方米）</w:t>
            </w:r>
          </w:p>
        </w:tc>
        <w:tc>
          <w:tcPr>
            <w:tcW w:w="3109" w:type="dxa"/>
            <w:shd w:val="clear" w:color="auto" w:fill="auto"/>
            <w:vAlign w:val="center"/>
          </w:tcPr>
          <w:p>
            <w:pPr>
              <w:ind w:left="67" w:firstLine="480"/>
              <w:jc w:val="center"/>
              <w:rPr>
                <w:rFonts w:ascii="Times New Roman" w:hAnsi="Times New Roman" w:eastAsia="宋体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701590</w:t>
            </w:r>
          </w:p>
        </w:tc>
        <w:tc>
          <w:tcPr>
            <w:tcW w:w="2208" w:type="dxa"/>
            <w:shd w:val="clear" w:color="auto" w:fill="auto"/>
            <w:vAlign w:val="center"/>
          </w:tcPr>
          <w:p>
            <w:pPr>
              <w:ind w:left="67" w:firstLine="480"/>
              <w:jc w:val="center"/>
              <w:rPr>
                <w:rFonts w:ascii="Times New Roman" w:hAnsi="Times New Roman" w:eastAsia="宋体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-3.0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3361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67" w:firstLine="0" w:firstLineChars="0"/>
              <w:jc w:val="both"/>
              <w:rPr>
                <w:rFonts w:ascii="Times New Roman" w:hAnsi="Times New Roman" w:eastAsia="方正仿宋_GBK" w:cs="Times New Roman"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</w:rPr>
              <w:t xml:space="preserve">  #住宅</w:t>
            </w:r>
          </w:p>
        </w:tc>
        <w:tc>
          <w:tcPr>
            <w:tcW w:w="3109" w:type="dxa"/>
            <w:shd w:val="clear" w:color="auto" w:fill="auto"/>
            <w:vAlign w:val="center"/>
          </w:tcPr>
          <w:p>
            <w:pPr>
              <w:ind w:left="67" w:firstLine="480"/>
              <w:jc w:val="center"/>
              <w:rPr>
                <w:rFonts w:ascii="Times New Roman" w:hAnsi="Times New Roman" w:eastAsia="宋体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562115</w:t>
            </w:r>
          </w:p>
        </w:tc>
        <w:tc>
          <w:tcPr>
            <w:tcW w:w="2208" w:type="dxa"/>
            <w:shd w:val="clear" w:color="auto" w:fill="auto"/>
            <w:vAlign w:val="center"/>
          </w:tcPr>
          <w:p>
            <w:pPr>
              <w:ind w:left="67" w:firstLine="480"/>
              <w:jc w:val="center"/>
              <w:rPr>
                <w:rFonts w:ascii="Times New Roman" w:hAnsi="Times New Roman" w:eastAsia="宋体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-2.9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3361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67" w:firstLine="0" w:firstLineChars="0"/>
              <w:jc w:val="both"/>
              <w:rPr>
                <w:rFonts w:ascii="Times New Roman" w:hAnsi="Times New Roman" w:eastAsia="方正仿宋_GBK" w:cs="Times New Roman"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</w:rPr>
              <w:t xml:space="preserve">   商业营业用房</w:t>
            </w:r>
          </w:p>
        </w:tc>
        <w:tc>
          <w:tcPr>
            <w:tcW w:w="3109" w:type="dxa"/>
            <w:shd w:val="clear" w:color="auto" w:fill="auto"/>
            <w:vAlign w:val="center"/>
          </w:tcPr>
          <w:p>
            <w:pPr>
              <w:ind w:left="67" w:firstLine="480"/>
              <w:jc w:val="center"/>
              <w:rPr>
                <w:rFonts w:ascii="Times New Roman" w:hAnsi="Times New Roman" w:eastAsia="宋体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139475</w:t>
            </w:r>
          </w:p>
        </w:tc>
        <w:tc>
          <w:tcPr>
            <w:tcW w:w="2208" w:type="dxa"/>
            <w:shd w:val="clear" w:color="auto" w:fill="auto"/>
            <w:vAlign w:val="center"/>
          </w:tcPr>
          <w:p>
            <w:pPr>
              <w:ind w:left="67" w:firstLine="480"/>
              <w:jc w:val="center"/>
              <w:rPr>
                <w:rFonts w:ascii="Times New Roman" w:hAnsi="Times New Roman" w:eastAsia="宋体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-3.5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3361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67" w:firstLine="0" w:firstLineChars="0"/>
              <w:jc w:val="both"/>
              <w:rPr>
                <w:rFonts w:ascii="Times New Roman" w:hAnsi="Times New Roman" w:eastAsia="方正仿宋_GBK" w:cs="Times New Roman"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</w:rPr>
              <w:t>竣工面积（平方米）</w:t>
            </w:r>
          </w:p>
        </w:tc>
        <w:tc>
          <w:tcPr>
            <w:tcW w:w="3109" w:type="dxa"/>
            <w:shd w:val="clear" w:color="auto" w:fill="auto"/>
            <w:vAlign w:val="center"/>
          </w:tcPr>
          <w:p>
            <w:pPr>
              <w:ind w:left="67" w:firstLine="480"/>
              <w:jc w:val="center"/>
              <w:rPr>
                <w:rFonts w:ascii="Times New Roman" w:hAnsi="Times New Roman" w:eastAsia="宋体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357481</w:t>
            </w:r>
          </w:p>
        </w:tc>
        <w:tc>
          <w:tcPr>
            <w:tcW w:w="2208" w:type="dxa"/>
            <w:shd w:val="clear" w:color="auto" w:fill="auto"/>
            <w:vAlign w:val="center"/>
          </w:tcPr>
          <w:p>
            <w:pPr>
              <w:ind w:left="67" w:firstLine="480"/>
              <w:jc w:val="center"/>
              <w:rPr>
                <w:rFonts w:ascii="Times New Roman" w:hAnsi="Times New Roman" w:eastAsia="宋体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-3.2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3361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67" w:firstLine="0" w:firstLineChars="0"/>
              <w:jc w:val="both"/>
              <w:rPr>
                <w:rFonts w:ascii="Times New Roman" w:hAnsi="Times New Roman" w:eastAsia="方正仿宋_GBK" w:cs="Times New Roman"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</w:rPr>
              <w:t xml:space="preserve">  #住宅</w:t>
            </w:r>
          </w:p>
        </w:tc>
        <w:tc>
          <w:tcPr>
            <w:tcW w:w="3109" w:type="dxa"/>
            <w:shd w:val="clear" w:color="auto" w:fill="auto"/>
            <w:vAlign w:val="center"/>
          </w:tcPr>
          <w:p>
            <w:pPr>
              <w:ind w:left="67" w:firstLine="480"/>
              <w:jc w:val="center"/>
              <w:rPr>
                <w:rFonts w:ascii="Times New Roman" w:hAnsi="Times New Roman" w:eastAsia="宋体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258364</w:t>
            </w:r>
          </w:p>
        </w:tc>
        <w:tc>
          <w:tcPr>
            <w:tcW w:w="2208" w:type="dxa"/>
            <w:shd w:val="clear" w:color="auto" w:fill="auto"/>
            <w:vAlign w:val="center"/>
          </w:tcPr>
          <w:p>
            <w:pPr>
              <w:ind w:left="67" w:firstLine="480"/>
              <w:jc w:val="center"/>
              <w:rPr>
                <w:rFonts w:ascii="Times New Roman" w:hAnsi="Times New Roman" w:eastAsia="宋体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-3.4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3361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67" w:firstLine="0" w:firstLineChars="0"/>
              <w:jc w:val="both"/>
              <w:rPr>
                <w:rFonts w:ascii="Times New Roman" w:hAnsi="Times New Roman" w:eastAsia="方正仿宋_GBK" w:cs="Times New Roman"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</w:rPr>
              <w:t xml:space="preserve">   商业营业用房</w:t>
            </w:r>
          </w:p>
        </w:tc>
        <w:tc>
          <w:tcPr>
            <w:tcW w:w="3109" w:type="dxa"/>
            <w:shd w:val="clear" w:color="auto" w:fill="auto"/>
            <w:vAlign w:val="center"/>
          </w:tcPr>
          <w:p>
            <w:pPr>
              <w:ind w:left="67" w:firstLine="480"/>
              <w:jc w:val="center"/>
              <w:rPr>
                <w:rFonts w:ascii="Times New Roman" w:hAnsi="Times New Roman" w:eastAsia="宋体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99117</w:t>
            </w:r>
          </w:p>
        </w:tc>
        <w:tc>
          <w:tcPr>
            <w:tcW w:w="2208" w:type="dxa"/>
            <w:shd w:val="clear" w:color="auto" w:fill="auto"/>
            <w:vAlign w:val="center"/>
          </w:tcPr>
          <w:p>
            <w:pPr>
              <w:ind w:left="67" w:firstLine="480"/>
              <w:jc w:val="center"/>
              <w:rPr>
                <w:rFonts w:ascii="Times New Roman" w:hAnsi="Times New Roman" w:eastAsia="宋体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-2.6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3361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67" w:firstLine="0" w:firstLineChars="0"/>
              <w:jc w:val="both"/>
              <w:rPr>
                <w:rFonts w:ascii="Times New Roman" w:hAnsi="Times New Roman" w:eastAsia="方正仿宋_GBK" w:cs="Times New Roman"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</w:rPr>
              <w:t>销售面积（平方米）</w:t>
            </w:r>
          </w:p>
        </w:tc>
        <w:tc>
          <w:tcPr>
            <w:tcW w:w="3109" w:type="dxa"/>
            <w:shd w:val="clear" w:color="auto" w:fill="auto"/>
            <w:vAlign w:val="center"/>
          </w:tcPr>
          <w:p>
            <w:pPr>
              <w:ind w:left="67" w:firstLine="480"/>
              <w:jc w:val="center"/>
              <w:rPr>
                <w:rFonts w:ascii="Times New Roman" w:hAnsi="Times New Roman" w:eastAsia="宋体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404497</w:t>
            </w:r>
          </w:p>
        </w:tc>
        <w:tc>
          <w:tcPr>
            <w:tcW w:w="2208" w:type="dxa"/>
            <w:shd w:val="clear" w:color="auto" w:fill="auto"/>
            <w:vAlign w:val="center"/>
          </w:tcPr>
          <w:p>
            <w:pPr>
              <w:ind w:left="67" w:firstLine="480"/>
              <w:jc w:val="center"/>
              <w:rPr>
                <w:rFonts w:ascii="Times New Roman" w:hAnsi="Times New Roman" w:eastAsia="宋体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-39.5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3361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67" w:firstLine="0" w:firstLineChars="0"/>
              <w:jc w:val="both"/>
              <w:rPr>
                <w:rFonts w:ascii="Times New Roman" w:hAnsi="Times New Roman" w:eastAsia="方正仿宋_GBK" w:cs="Times New Roman"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</w:rPr>
              <w:t xml:space="preserve">  #住宅</w:t>
            </w:r>
          </w:p>
        </w:tc>
        <w:tc>
          <w:tcPr>
            <w:tcW w:w="3109" w:type="dxa"/>
            <w:shd w:val="clear" w:color="auto" w:fill="auto"/>
            <w:vAlign w:val="center"/>
          </w:tcPr>
          <w:p>
            <w:pPr>
              <w:ind w:left="67" w:firstLine="480"/>
              <w:jc w:val="center"/>
              <w:rPr>
                <w:rFonts w:ascii="Times New Roman" w:hAnsi="Times New Roman" w:eastAsia="宋体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302559</w:t>
            </w:r>
          </w:p>
        </w:tc>
        <w:tc>
          <w:tcPr>
            <w:tcW w:w="2208" w:type="dxa"/>
            <w:shd w:val="clear" w:color="auto" w:fill="auto"/>
            <w:vAlign w:val="center"/>
          </w:tcPr>
          <w:p>
            <w:pPr>
              <w:ind w:left="67" w:firstLine="480"/>
              <w:jc w:val="center"/>
              <w:rPr>
                <w:rFonts w:ascii="Times New Roman" w:hAnsi="Times New Roman" w:eastAsia="宋体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-42.4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3361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67" w:firstLine="0" w:firstLineChars="0"/>
              <w:jc w:val="both"/>
              <w:rPr>
                <w:rFonts w:ascii="Times New Roman" w:hAnsi="Times New Roman" w:eastAsia="方正仿宋_GBK" w:cs="Times New Roman"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</w:rPr>
              <w:t xml:space="preserve">   商业营业用房</w:t>
            </w:r>
          </w:p>
        </w:tc>
        <w:tc>
          <w:tcPr>
            <w:tcW w:w="3109" w:type="dxa"/>
            <w:shd w:val="clear" w:color="auto" w:fill="auto"/>
            <w:vAlign w:val="center"/>
          </w:tcPr>
          <w:p>
            <w:pPr>
              <w:ind w:left="67" w:firstLine="480"/>
              <w:jc w:val="center"/>
              <w:rPr>
                <w:rFonts w:ascii="Times New Roman" w:hAnsi="Times New Roman" w:eastAsia="宋体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49767</w:t>
            </w:r>
          </w:p>
        </w:tc>
        <w:tc>
          <w:tcPr>
            <w:tcW w:w="2208" w:type="dxa"/>
            <w:shd w:val="clear" w:color="auto" w:fill="auto"/>
            <w:vAlign w:val="center"/>
          </w:tcPr>
          <w:p>
            <w:pPr>
              <w:ind w:left="67" w:firstLine="480"/>
              <w:jc w:val="center"/>
              <w:rPr>
                <w:rFonts w:ascii="Times New Roman" w:hAnsi="Times New Roman" w:eastAsia="宋体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-42.8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3361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67" w:firstLine="0" w:firstLineChars="0"/>
              <w:jc w:val="both"/>
              <w:rPr>
                <w:rFonts w:ascii="Times New Roman" w:hAnsi="Times New Roman" w:eastAsia="方正仿宋_GBK" w:cs="Times New Roman"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</w:rPr>
              <w:t>销售额（万元）</w:t>
            </w:r>
          </w:p>
        </w:tc>
        <w:tc>
          <w:tcPr>
            <w:tcW w:w="3109" w:type="dxa"/>
            <w:shd w:val="clear" w:color="auto" w:fill="auto"/>
            <w:vAlign w:val="center"/>
          </w:tcPr>
          <w:p>
            <w:pPr>
              <w:ind w:left="67" w:firstLine="480"/>
              <w:jc w:val="center"/>
              <w:rPr>
                <w:rFonts w:ascii="Times New Roman" w:hAnsi="Times New Roman" w:eastAsia="宋体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185735</w:t>
            </w:r>
          </w:p>
        </w:tc>
        <w:tc>
          <w:tcPr>
            <w:tcW w:w="2208" w:type="dxa"/>
            <w:shd w:val="clear" w:color="auto" w:fill="auto"/>
            <w:vAlign w:val="center"/>
          </w:tcPr>
          <w:p>
            <w:pPr>
              <w:ind w:left="67" w:firstLine="480"/>
              <w:jc w:val="center"/>
              <w:rPr>
                <w:rFonts w:ascii="Times New Roman" w:hAnsi="Times New Roman" w:eastAsia="宋体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-41.6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3361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67" w:firstLine="0" w:firstLineChars="0"/>
              <w:jc w:val="both"/>
              <w:rPr>
                <w:rFonts w:ascii="Times New Roman" w:hAnsi="Times New Roman" w:eastAsia="方正仿宋_GBK" w:cs="Times New Roman"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</w:rPr>
              <w:t xml:space="preserve">  #住宅</w:t>
            </w:r>
          </w:p>
        </w:tc>
        <w:tc>
          <w:tcPr>
            <w:tcW w:w="3109" w:type="dxa"/>
            <w:shd w:val="clear" w:color="auto" w:fill="auto"/>
            <w:vAlign w:val="center"/>
          </w:tcPr>
          <w:p>
            <w:pPr>
              <w:ind w:left="67" w:firstLine="480"/>
              <w:jc w:val="center"/>
              <w:rPr>
                <w:rFonts w:ascii="Times New Roman" w:hAnsi="Times New Roman" w:eastAsia="宋体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137272</w:t>
            </w:r>
          </w:p>
        </w:tc>
        <w:tc>
          <w:tcPr>
            <w:tcW w:w="2208" w:type="dxa"/>
            <w:shd w:val="clear" w:color="auto" w:fill="auto"/>
            <w:vAlign w:val="center"/>
          </w:tcPr>
          <w:p>
            <w:pPr>
              <w:ind w:left="67" w:firstLine="480"/>
              <w:jc w:val="center"/>
              <w:rPr>
                <w:rFonts w:ascii="Times New Roman" w:hAnsi="Times New Roman" w:eastAsia="宋体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-43.2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3361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67" w:firstLine="0" w:firstLineChars="0"/>
              <w:jc w:val="both"/>
              <w:rPr>
                <w:rFonts w:ascii="Times New Roman" w:hAnsi="Times New Roman" w:eastAsia="方正仿宋_GBK" w:cs="Times New Roman"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</w:rPr>
              <w:t xml:space="preserve">   商业营业用房</w:t>
            </w:r>
          </w:p>
        </w:tc>
        <w:tc>
          <w:tcPr>
            <w:tcW w:w="3109" w:type="dxa"/>
            <w:shd w:val="clear" w:color="auto" w:fill="auto"/>
            <w:vAlign w:val="center"/>
          </w:tcPr>
          <w:p>
            <w:pPr>
              <w:ind w:left="67" w:firstLine="480"/>
              <w:jc w:val="center"/>
              <w:rPr>
                <w:rFonts w:ascii="Times New Roman" w:hAnsi="Times New Roman" w:eastAsia="宋体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34352</w:t>
            </w:r>
          </w:p>
        </w:tc>
        <w:tc>
          <w:tcPr>
            <w:tcW w:w="2208" w:type="dxa"/>
            <w:shd w:val="clear" w:color="auto" w:fill="auto"/>
            <w:vAlign w:val="center"/>
          </w:tcPr>
          <w:p>
            <w:pPr>
              <w:ind w:left="67" w:firstLine="480"/>
              <w:jc w:val="center"/>
              <w:rPr>
                <w:rFonts w:ascii="Times New Roman" w:hAnsi="Times New Roman" w:eastAsia="宋体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-47.6</w:t>
            </w:r>
          </w:p>
        </w:tc>
      </w:tr>
    </w:tbl>
    <w:p>
      <w:pPr>
        <w:pBdr>
          <w:right w:val="single" w:color="DDDDDD" w:sz="6" w:space="4"/>
        </w:pBdr>
        <w:shd w:val="clear" w:color="auto" w:fill="FFFFFF"/>
        <w:autoSpaceDN w:val="0"/>
        <w:spacing w:line="590" w:lineRule="exact"/>
        <w:ind w:left="67" w:firstLine="640"/>
        <w:jc w:val="both"/>
        <w:rPr>
          <w:rFonts w:ascii="方正黑体_GBK" w:hAnsi="方正黑体_GBK" w:eastAsia="方正黑体_GBK" w:cs="方正黑体_GBK"/>
          <w:bCs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Cs/>
          <w:sz w:val="32"/>
          <w:szCs w:val="32"/>
        </w:rPr>
        <w:t>七、财政和金融</w:t>
      </w:r>
    </w:p>
    <w:p>
      <w:pPr>
        <w:pStyle w:val="4"/>
        <w:jc w:val="both"/>
        <w:rPr>
          <w:color w:val="FF0000"/>
        </w:rPr>
      </w:pPr>
      <w:r>
        <w:t>全年地方财政收入</w:t>
      </w:r>
      <w:r>
        <w:rPr>
          <w:rFonts w:hint="eastAsia"/>
        </w:rPr>
        <w:t>481256</w:t>
      </w:r>
      <w:r>
        <w:t>万元，比上年</w:t>
      </w:r>
      <w:r>
        <w:rPr>
          <w:rFonts w:hint="eastAsia"/>
        </w:rPr>
        <w:t>增长9.6</w:t>
      </w:r>
      <w:r>
        <w:t>%。</w:t>
      </w:r>
      <w:r>
        <w:rPr>
          <w:rFonts w:hint="eastAsia"/>
        </w:rPr>
        <w:t>一般</w:t>
      </w:r>
      <w:r>
        <w:t>公共财政预算收入</w:t>
      </w:r>
      <w:r>
        <w:rPr>
          <w:rFonts w:hint="eastAsia"/>
        </w:rPr>
        <w:t>302332</w:t>
      </w:r>
      <w:r>
        <w:t>万元，比上年增长</w:t>
      </w:r>
      <w:r>
        <w:rPr>
          <w:rFonts w:hint="eastAsia"/>
        </w:rPr>
        <w:t>9.3</w:t>
      </w:r>
      <w:r>
        <w:t>%。税收收入</w:t>
      </w:r>
      <w:r>
        <w:rPr>
          <w:rFonts w:hint="eastAsia"/>
        </w:rPr>
        <w:t>101151</w:t>
      </w:r>
      <w:r>
        <w:t>万元，比上年</w:t>
      </w:r>
      <w:r>
        <w:rPr>
          <w:rFonts w:hint="eastAsia"/>
        </w:rPr>
        <w:t>下降4.1</w:t>
      </w:r>
      <w:r>
        <w:t>%。全年地方财政支出</w:t>
      </w:r>
      <w:r>
        <w:rPr>
          <w:rFonts w:hint="eastAsia"/>
        </w:rPr>
        <w:t>975406</w:t>
      </w:r>
      <w:r>
        <w:t>万元，比上年</w:t>
      </w:r>
      <w:r>
        <w:rPr>
          <w:rFonts w:hint="eastAsia"/>
        </w:rPr>
        <w:t>下降2.8</w:t>
      </w:r>
      <w:r>
        <w:t>%。</w:t>
      </w:r>
      <w:r>
        <w:rPr>
          <w:rFonts w:hint="eastAsia"/>
        </w:rPr>
        <w:t>一般</w:t>
      </w:r>
      <w:r>
        <w:t>公共财政预算支出</w:t>
      </w:r>
      <w:r>
        <w:rPr>
          <w:rFonts w:hint="eastAsia"/>
        </w:rPr>
        <w:t>739627</w:t>
      </w:r>
      <w:r>
        <w:t>万元，比上年</w:t>
      </w:r>
      <w:r>
        <w:rPr>
          <w:rFonts w:hint="eastAsia"/>
        </w:rPr>
        <w:t>增长5.3</w:t>
      </w:r>
      <w:r>
        <w:t>%。</w:t>
      </w:r>
      <w:r>
        <w:rPr>
          <w:rFonts w:hint="eastAsia"/>
        </w:rPr>
        <w:t>其中一般公共服务支出77701万元，比上年增长18.2%。</w:t>
      </w:r>
    </w:p>
    <w:p>
      <w:pPr>
        <w:pStyle w:val="4"/>
        <w:jc w:val="both"/>
      </w:pPr>
      <w:r>
        <w:t>年末全县金融机构</w:t>
      </w:r>
      <w:r>
        <w:rPr>
          <w:rFonts w:hint="eastAsia"/>
        </w:rPr>
        <w:t>本外</w:t>
      </w:r>
      <w:r>
        <w:t>币存款余额</w:t>
      </w:r>
      <w:r>
        <w:rPr>
          <w:rFonts w:hint="eastAsia"/>
        </w:rPr>
        <w:t>5688229</w:t>
      </w:r>
      <w:r>
        <w:t>万元，</w:t>
      </w:r>
      <w:r>
        <w:rPr>
          <w:rFonts w:hint="eastAsia"/>
        </w:rPr>
        <w:t>比上年末</w:t>
      </w:r>
      <w:r>
        <w:t>增长</w:t>
      </w:r>
      <w:r>
        <w:rPr>
          <w:rFonts w:hint="eastAsia"/>
        </w:rPr>
        <w:t>11.0</w:t>
      </w:r>
      <w:r>
        <w:t>%，其中，城乡居民储蓄</w:t>
      </w:r>
      <w:r>
        <w:rPr>
          <w:rFonts w:hint="eastAsia"/>
        </w:rPr>
        <w:t>存款</w:t>
      </w:r>
      <w:r>
        <w:t>余额</w:t>
      </w:r>
      <w:r>
        <w:rPr>
          <w:rFonts w:hint="eastAsia"/>
        </w:rPr>
        <w:t>4915138</w:t>
      </w:r>
      <w:r>
        <w:t>万元，增长</w:t>
      </w:r>
      <w:r>
        <w:rPr>
          <w:rFonts w:hint="eastAsia"/>
        </w:rPr>
        <w:t>10.6</w:t>
      </w:r>
      <w:r>
        <w:t>%。金融机构</w:t>
      </w:r>
      <w:r>
        <w:rPr>
          <w:rFonts w:hint="eastAsia"/>
        </w:rPr>
        <w:t>本外</w:t>
      </w:r>
      <w:r>
        <w:t>币贷款余额</w:t>
      </w:r>
      <w:r>
        <w:rPr>
          <w:rFonts w:hint="eastAsia"/>
        </w:rPr>
        <w:t>3325131</w:t>
      </w:r>
      <w:r>
        <w:t>万元，</w:t>
      </w:r>
      <w:r>
        <w:rPr>
          <w:rFonts w:hint="eastAsia"/>
        </w:rPr>
        <w:t>比上年末</w:t>
      </w:r>
      <w:r>
        <w:t>增长</w:t>
      </w:r>
      <w:r>
        <w:rPr>
          <w:rFonts w:hint="eastAsia"/>
        </w:rPr>
        <w:t>12.7</w:t>
      </w:r>
      <w:r>
        <w:t>%，其中，短期贷款余额</w:t>
      </w:r>
      <w:r>
        <w:rPr>
          <w:rFonts w:hint="eastAsia"/>
        </w:rPr>
        <w:t>681856</w:t>
      </w:r>
      <w:r>
        <w:t>万元</w:t>
      </w:r>
      <w:r>
        <w:rPr>
          <w:rFonts w:hint="eastAsia"/>
        </w:rPr>
        <w:t>，</w:t>
      </w:r>
      <w:r>
        <w:t>增长</w:t>
      </w:r>
      <w:r>
        <w:rPr>
          <w:rFonts w:hint="eastAsia"/>
        </w:rPr>
        <w:t>4.3</w:t>
      </w:r>
      <w:r>
        <w:t>%；中长期贷款余额</w:t>
      </w:r>
      <w:r>
        <w:rPr>
          <w:rFonts w:hint="eastAsia"/>
        </w:rPr>
        <w:t>2598816</w:t>
      </w:r>
      <w:r>
        <w:t>万元，增长</w:t>
      </w:r>
      <w:r>
        <w:rPr>
          <w:rFonts w:hint="eastAsia"/>
        </w:rPr>
        <w:t>11.6</w:t>
      </w:r>
      <w:r>
        <w:t>%。</w:t>
      </w:r>
    </w:p>
    <w:p>
      <w:pPr>
        <w:pStyle w:val="4"/>
      </w:pPr>
      <w:r>
        <w:rPr>
          <w:rFonts w:hint="eastAsia"/>
        </w:rPr>
        <w:t>表2  2024年年末金融机构本外币存贷款余额</w:t>
      </w:r>
    </w:p>
    <w:tbl>
      <w:tblPr>
        <w:tblStyle w:val="8"/>
        <w:tblW w:w="859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41"/>
        <w:gridCol w:w="2301"/>
        <w:gridCol w:w="245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exact"/>
          <w:jc w:val="center"/>
        </w:trPr>
        <w:tc>
          <w:tcPr>
            <w:tcW w:w="384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exact"/>
              <w:ind w:left="67" w:firstLine="0" w:firstLineChars="0"/>
              <w:jc w:val="both"/>
              <w:rPr>
                <w:rFonts w:ascii="Times New Roman" w:hAnsi="Times New Roman" w:eastAsia="方正仿宋_GBK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kern w:val="2"/>
                <w:sz w:val="24"/>
                <w:szCs w:val="24"/>
              </w:rPr>
              <w:t>指标</w:t>
            </w:r>
          </w:p>
        </w:tc>
        <w:tc>
          <w:tcPr>
            <w:tcW w:w="230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exact"/>
              <w:ind w:left="67" w:firstLine="0" w:firstLineChars="0"/>
              <w:jc w:val="center"/>
              <w:rPr>
                <w:rFonts w:ascii="Times New Roman" w:hAnsi="Times New Roman" w:eastAsia="方正仿宋_GBK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kern w:val="2"/>
                <w:sz w:val="24"/>
                <w:szCs w:val="24"/>
              </w:rPr>
              <w:t>年末数</w:t>
            </w:r>
            <w:r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</w:rPr>
              <w:t>（万元）</w:t>
            </w:r>
          </w:p>
        </w:tc>
        <w:tc>
          <w:tcPr>
            <w:tcW w:w="2456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widowControl/>
              <w:spacing w:line="240" w:lineRule="exact"/>
              <w:ind w:left="67" w:firstLine="0" w:firstLineChars="0"/>
              <w:jc w:val="center"/>
              <w:rPr>
                <w:rFonts w:ascii="Times New Roman" w:hAnsi="Times New Roman" w:eastAsia="方正仿宋_GBK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kern w:val="2"/>
                <w:sz w:val="24"/>
                <w:szCs w:val="24"/>
              </w:rPr>
              <w:t>比上年末（%）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exact"/>
          <w:jc w:val="center"/>
        </w:trPr>
        <w:tc>
          <w:tcPr>
            <w:tcW w:w="38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exact"/>
              <w:ind w:left="67" w:firstLine="0" w:firstLineChars="0"/>
              <w:jc w:val="both"/>
              <w:rPr>
                <w:rFonts w:ascii="Times New Roman" w:hAnsi="Times New Roman" w:eastAsia="方正仿宋_GBK" w:cs="Times New Roman"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</w:rPr>
              <w:t>本外</w:t>
            </w:r>
            <w:r>
              <w:rPr>
                <w:rFonts w:ascii="Times New Roman" w:hAnsi="Times New Roman" w:eastAsia="方正仿宋_GBK" w:cs="Times New Roman"/>
                <w:kern w:val="2"/>
                <w:sz w:val="24"/>
                <w:szCs w:val="24"/>
              </w:rPr>
              <w:t>币存款余额</w:t>
            </w:r>
          </w:p>
        </w:tc>
        <w:tc>
          <w:tcPr>
            <w:tcW w:w="23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ind w:left="67" w:firstLine="480"/>
              <w:jc w:val="center"/>
              <w:rPr>
                <w:rFonts w:ascii="Times New Roman" w:hAnsi="Times New Roman" w:eastAsia="宋体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5688229</w:t>
            </w:r>
          </w:p>
        </w:tc>
        <w:tc>
          <w:tcPr>
            <w:tcW w:w="2456" w:type="dxa"/>
            <w:tcBorders>
              <w:top w:val="nil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ind w:left="67" w:firstLine="480"/>
              <w:jc w:val="center"/>
              <w:rPr>
                <w:rFonts w:ascii="Times New Roman" w:hAnsi="Times New Roman" w:eastAsia="宋体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11.0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exact"/>
          <w:jc w:val="center"/>
        </w:trPr>
        <w:tc>
          <w:tcPr>
            <w:tcW w:w="38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exact"/>
              <w:ind w:left="67" w:firstLine="480"/>
              <w:jc w:val="both"/>
              <w:rPr>
                <w:rFonts w:ascii="Times New Roman" w:hAnsi="Times New Roman" w:eastAsia="方正仿宋_GBK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kern w:val="2"/>
                <w:sz w:val="24"/>
                <w:szCs w:val="24"/>
              </w:rPr>
              <w:t>#</w:t>
            </w:r>
            <w:r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</w:rPr>
              <w:t>城乡居民储蓄</w:t>
            </w:r>
            <w:r>
              <w:rPr>
                <w:rFonts w:ascii="Times New Roman" w:hAnsi="Times New Roman" w:eastAsia="方正仿宋_GBK" w:cs="Times New Roman"/>
                <w:kern w:val="2"/>
                <w:sz w:val="24"/>
                <w:szCs w:val="24"/>
              </w:rPr>
              <w:t>存款</w:t>
            </w:r>
          </w:p>
        </w:tc>
        <w:tc>
          <w:tcPr>
            <w:tcW w:w="23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ind w:left="67" w:firstLine="480"/>
              <w:jc w:val="center"/>
              <w:rPr>
                <w:rFonts w:ascii="Times New Roman" w:hAnsi="Times New Roman" w:eastAsia="宋体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4915138</w:t>
            </w:r>
          </w:p>
        </w:tc>
        <w:tc>
          <w:tcPr>
            <w:tcW w:w="2456" w:type="dxa"/>
            <w:tcBorders>
              <w:top w:val="nil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ind w:left="67" w:firstLine="480"/>
              <w:jc w:val="center"/>
              <w:rPr>
                <w:rFonts w:ascii="Times New Roman" w:hAnsi="Times New Roman" w:eastAsia="宋体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10.6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exact"/>
          <w:jc w:val="center"/>
        </w:trPr>
        <w:tc>
          <w:tcPr>
            <w:tcW w:w="38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exact"/>
              <w:ind w:left="67" w:firstLine="0" w:firstLineChars="0"/>
              <w:jc w:val="both"/>
              <w:rPr>
                <w:rFonts w:ascii="Times New Roman" w:hAnsi="Times New Roman" w:eastAsia="方正仿宋_GBK" w:cs="Times New Roman"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</w:rPr>
              <w:t>本外</w:t>
            </w:r>
            <w:r>
              <w:rPr>
                <w:rFonts w:ascii="Times New Roman" w:hAnsi="Times New Roman" w:eastAsia="方正仿宋_GBK" w:cs="Times New Roman"/>
                <w:kern w:val="2"/>
                <w:sz w:val="24"/>
                <w:szCs w:val="24"/>
              </w:rPr>
              <w:t>币贷款余额</w:t>
            </w:r>
          </w:p>
        </w:tc>
        <w:tc>
          <w:tcPr>
            <w:tcW w:w="23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ind w:left="67" w:firstLine="480"/>
              <w:jc w:val="center"/>
              <w:rPr>
                <w:rFonts w:ascii="Times New Roman" w:hAnsi="Times New Roman" w:eastAsia="宋体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3325131</w:t>
            </w:r>
          </w:p>
        </w:tc>
        <w:tc>
          <w:tcPr>
            <w:tcW w:w="2456" w:type="dxa"/>
            <w:tcBorders>
              <w:top w:val="nil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ind w:left="67" w:firstLine="480"/>
              <w:jc w:val="center"/>
              <w:rPr>
                <w:rFonts w:ascii="Times New Roman" w:hAnsi="Times New Roman" w:eastAsia="宋体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12.7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exact"/>
          <w:jc w:val="center"/>
        </w:trPr>
        <w:tc>
          <w:tcPr>
            <w:tcW w:w="38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exact"/>
              <w:ind w:left="67" w:firstLine="499" w:firstLineChars="208"/>
              <w:jc w:val="both"/>
              <w:rPr>
                <w:rFonts w:ascii="Times New Roman" w:hAnsi="Times New Roman" w:eastAsia="方正仿宋_GBK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kern w:val="2"/>
                <w:sz w:val="24"/>
                <w:szCs w:val="24"/>
              </w:rPr>
              <w:t>#短期贷款</w:t>
            </w:r>
          </w:p>
        </w:tc>
        <w:tc>
          <w:tcPr>
            <w:tcW w:w="23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ind w:left="67" w:firstLine="480"/>
              <w:jc w:val="center"/>
              <w:rPr>
                <w:rFonts w:ascii="Times New Roman" w:hAnsi="Times New Roman" w:eastAsia="宋体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681856</w:t>
            </w:r>
          </w:p>
        </w:tc>
        <w:tc>
          <w:tcPr>
            <w:tcW w:w="2456" w:type="dxa"/>
            <w:tcBorders>
              <w:top w:val="nil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ind w:left="67" w:firstLine="480"/>
              <w:jc w:val="center"/>
              <w:rPr>
                <w:rFonts w:ascii="Times New Roman" w:hAnsi="Times New Roman" w:eastAsia="宋体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4.3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exact"/>
          <w:jc w:val="center"/>
        </w:trPr>
        <w:tc>
          <w:tcPr>
            <w:tcW w:w="38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exact"/>
              <w:ind w:left="67" w:firstLine="600" w:firstLineChars="250"/>
              <w:jc w:val="both"/>
              <w:rPr>
                <w:rFonts w:ascii="Times New Roman" w:hAnsi="Times New Roman" w:eastAsia="方正仿宋_GBK" w:cs="Times New Roman"/>
                <w:kern w:val="2"/>
                <w:sz w:val="24"/>
                <w:szCs w:val="24"/>
              </w:rPr>
            </w:pPr>
            <w:r>
              <w:rPr>
                <w:rFonts w:ascii="Times New Roman" w:hAnsi="Times New Roman" w:eastAsia="方正仿宋_GBK" w:cs="Times New Roman"/>
                <w:kern w:val="2"/>
                <w:sz w:val="24"/>
                <w:szCs w:val="24"/>
              </w:rPr>
              <w:t>中长期贷款</w:t>
            </w:r>
          </w:p>
        </w:tc>
        <w:tc>
          <w:tcPr>
            <w:tcW w:w="23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ind w:left="67" w:firstLine="480"/>
              <w:jc w:val="center"/>
              <w:rPr>
                <w:rFonts w:ascii="Times New Roman" w:hAnsi="Times New Roman" w:eastAsia="宋体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2598816</w:t>
            </w:r>
          </w:p>
        </w:tc>
        <w:tc>
          <w:tcPr>
            <w:tcW w:w="2456" w:type="dxa"/>
            <w:tcBorders>
              <w:top w:val="nil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ind w:left="67" w:firstLine="480"/>
              <w:jc w:val="center"/>
              <w:rPr>
                <w:rFonts w:ascii="Times New Roman" w:hAnsi="Times New Roman" w:eastAsia="宋体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13.9</w:t>
            </w:r>
          </w:p>
        </w:tc>
      </w:tr>
    </w:tbl>
    <w:p>
      <w:pPr>
        <w:pStyle w:val="4"/>
      </w:pPr>
      <w:r>
        <w:rPr>
          <w:rFonts w:hint="eastAsia"/>
        </w:rPr>
        <w:t>全年保费总收入133990万元，其中，财产保险收入55058万元，人寿保险收入78932万元。全年赔付各类保险金85435万元，其中，财产保险赔付49403万元，人寿保险赔付36032万元。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68" w:firstLine="640"/>
        <w:jc w:val="both"/>
        <w:textAlignment w:val="auto"/>
        <w:rPr>
          <w:rFonts w:ascii="Times New Roman" w:hAnsi="Times New Roman" w:eastAsia="方正黑体_GBK" w:cs="方正黑体_GBK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黑体_GBK" w:cs="方正黑体_GBK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八、人民生活和社会保障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68" w:firstLine="640"/>
        <w:textAlignment w:val="auto"/>
        <w:rPr>
          <w:rFonts w:ascii="Times New Roman" w:hAnsi="Times New Roman" w:eastAsia="方正仿宋_GBK" w:cs="方正仿宋_GBK"/>
          <w:b/>
          <w:bCs/>
          <w:color w:val="FF0000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全年全体居民人均可支配收入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33959</w:t>
      </w:r>
      <w:r>
        <w:rPr>
          <w:rFonts w:ascii="Times New Roman" w:hAnsi="Times New Roman" w:eastAsia="方正仿宋_GBK" w:cs="Times New Roman"/>
          <w:sz w:val="32"/>
          <w:szCs w:val="32"/>
        </w:rPr>
        <w:t>元，比上年增长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5.7</w:t>
      </w:r>
      <w:r>
        <w:rPr>
          <w:rFonts w:ascii="Times New Roman" w:hAnsi="Times New Roman" w:eastAsia="方正仿宋_GBK" w:cs="Times New Roman"/>
          <w:sz w:val="32"/>
          <w:szCs w:val="32"/>
        </w:rPr>
        <w:t>%。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其中，工资性收入16124元，增长5.9%；经营净收入8311元，增长5.6%；财产净收入1840元，增长6.0%；转移净收入7685元，增长5.6%。</w:t>
      </w:r>
      <w:r>
        <w:rPr>
          <w:rFonts w:ascii="Times New Roman" w:hAnsi="Times New Roman" w:eastAsia="方正仿宋_GBK" w:cs="Times New Roman"/>
          <w:sz w:val="32"/>
          <w:szCs w:val="32"/>
        </w:rPr>
        <w:t>分城乡看，城镇常住居民人均可支配收入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45350</w:t>
      </w:r>
      <w:r>
        <w:rPr>
          <w:rFonts w:ascii="Times New Roman" w:hAnsi="Times New Roman" w:eastAsia="方正仿宋_GBK" w:cs="Times New Roman"/>
          <w:sz w:val="32"/>
          <w:szCs w:val="32"/>
        </w:rPr>
        <w:t>元，增长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4.4</w:t>
      </w:r>
      <w:r>
        <w:rPr>
          <w:rFonts w:ascii="Times New Roman" w:hAnsi="Times New Roman" w:eastAsia="方正仿宋_GBK" w:cs="Times New Roman"/>
          <w:sz w:val="32"/>
          <w:szCs w:val="32"/>
        </w:rPr>
        <w:t>%；农村常住居民人均可支配收入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21672</w:t>
      </w:r>
      <w:r>
        <w:rPr>
          <w:rFonts w:ascii="Times New Roman" w:hAnsi="Times New Roman" w:eastAsia="方正仿宋_GBK" w:cs="Times New Roman"/>
          <w:sz w:val="32"/>
          <w:szCs w:val="32"/>
        </w:rPr>
        <w:t>元，增长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6.7</w:t>
      </w:r>
      <w:r>
        <w:rPr>
          <w:rFonts w:ascii="Times New Roman" w:hAnsi="Times New Roman" w:eastAsia="方正仿宋_GBK" w:cs="Times New Roman"/>
          <w:sz w:val="32"/>
          <w:szCs w:val="32"/>
        </w:rPr>
        <w:t>%。</w:t>
      </w:r>
    </w:p>
    <w:p>
      <w:pPr>
        <w:ind w:left="67" w:firstLine="0" w:firstLineChars="0"/>
        <w:jc w:val="center"/>
        <w:rPr>
          <w:rFonts w:ascii="Times New Roman" w:hAnsi="Times New Roman" w:eastAsia="方正黑体_GBK" w:cs="方正黑体_GBK"/>
          <w:sz w:val="32"/>
          <w:szCs w:val="32"/>
        </w:rPr>
      </w:pPr>
      <w:r>
        <w:rPr>
          <w:rFonts w:hint="eastAsia" w:ascii="Times New Roman" w:hAnsi="Times New Roman" w:eastAsia="方正黑体_GBK" w:cs="方正黑体_GBK"/>
          <w:sz w:val="32"/>
          <w:szCs w:val="3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8255</wp:posOffset>
            </wp:positionH>
            <wp:positionV relativeFrom="paragraph">
              <wp:posOffset>408940</wp:posOffset>
            </wp:positionV>
            <wp:extent cx="5566410" cy="2529205"/>
            <wp:effectExtent l="19050" t="0" r="15240" b="4445"/>
            <wp:wrapSquare wrapText="bothSides"/>
            <wp:docPr id="4" name="图表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anchor>
        </w:drawing>
      </w:r>
      <w:r>
        <w:rPr>
          <w:rFonts w:hint="eastAsia" w:ascii="Times New Roman" w:hAnsi="Times New Roman" w:eastAsia="方正黑体_GBK" w:cs="方正黑体_GBK"/>
          <w:sz w:val="32"/>
          <w:szCs w:val="32"/>
        </w:rPr>
        <w:t>图3  2020-2024年全体居民人均可支配收入及其增长速度</w:t>
      </w:r>
    </w:p>
    <w:p>
      <w:pPr>
        <w:spacing w:line="600" w:lineRule="exact"/>
        <w:ind w:left="67" w:firstLine="640"/>
        <w:rPr>
          <w:rFonts w:hint="eastAsia" w:ascii="Times New Roman" w:hAnsi="Times New Roman" w:eastAsia="方正仿宋_GBK" w:cs="Times New Roman"/>
          <w:bCs/>
          <w:sz w:val="32"/>
          <w:szCs w:val="32"/>
        </w:rPr>
      </w:pPr>
    </w:p>
    <w:p>
      <w:pPr>
        <w:spacing w:line="600" w:lineRule="exact"/>
        <w:ind w:left="67" w:firstLine="640"/>
        <w:rPr>
          <w:rFonts w:ascii="Times New Roman" w:hAnsi="Times New Roman" w:eastAsia="方正仿宋_GBK" w:cs="Times New Roman"/>
          <w:color w:val="FF0000"/>
          <w:sz w:val="32"/>
          <w:szCs w:val="32"/>
          <w:highlight w:val="yellow"/>
        </w:rPr>
      </w:pPr>
      <w:r>
        <w:rPr>
          <w:rFonts w:hint="eastAsia" w:ascii="Times New Roman" w:hAnsi="Times New Roman" w:eastAsia="方正仿宋_GBK" w:cs="Times New Roman"/>
          <w:bCs/>
          <w:sz w:val="32"/>
          <w:szCs w:val="32"/>
        </w:rPr>
        <w:t>全县参加医疗保险</w:t>
      </w:r>
      <w:r>
        <w:rPr>
          <w:rFonts w:ascii="Times New Roman" w:hAnsi="Times New Roman" w:eastAsia="方正仿宋_GBK" w:cs="Times New Roman"/>
          <w:bCs/>
          <w:sz w:val="32"/>
          <w:szCs w:val="32"/>
        </w:rPr>
        <w:t>652395</w:t>
      </w:r>
      <w:r>
        <w:rPr>
          <w:rFonts w:hint="eastAsia" w:ascii="Times New Roman" w:hAnsi="Times New Roman" w:eastAsia="方正仿宋_GBK" w:cs="Times New Roman"/>
          <w:bCs/>
          <w:sz w:val="32"/>
          <w:szCs w:val="32"/>
        </w:rPr>
        <w:t>人。参加城镇职工基本养老保险</w:t>
      </w:r>
      <w:r>
        <w:rPr>
          <w:rFonts w:ascii="Times New Roman" w:hAnsi="Times New Roman" w:eastAsia="方正仿宋_GBK" w:cs="Times New Roman"/>
          <w:bCs/>
          <w:sz w:val="32"/>
          <w:szCs w:val="32"/>
        </w:rPr>
        <w:t>75307</w:t>
      </w:r>
      <w:r>
        <w:rPr>
          <w:rFonts w:hint="eastAsia" w:ascii="Times New Roman" w:hAnsi="Times New Roman" w:eastAsia="方正仿宋_GBK" w:cs="Times New Roman"/>
          <w:bCs/>
          <w:sz w:val="32"/>
          <w:szCs w:val="32"/>
        </w:rPr>
        <w:t>人，参加工伤保险</w:t>
      </w:r>
      <w:r>
        <w:rPr>
          <w:rFonts w:ascii="Times New Roman" w:hAnsi="Times New Roman" w:eastAsia="方正仿宋_GBK" w:cs="Times New Roman"/>
          <w:bCs/>
          <w:sz w:val="32"/>
          <w:szCs w:val="32"/>
        </w:rPr>
        <w:t>6.2万</w:t>
      </w:r>
      <w:r>
        <w:rPr>
          <w:rFonts w:hint="eastAsia" w:ascii="Times New Roman" w:hAnsi="Times New Roman" w:eastAsia="方正仿宋_GBK" w:cs="Times New Roman"/>
          <w:bCs/>
          <w:sz w:val="32"/>
          <w:szCs w:val="32"/>
        </w:rPr>
        <w:t>人，全年参加失业保险34714人，发放失业保险金20484人次。</w:t>
      </w:r>
    </w:p>
    <w:p>
      <w:pPr>
        <w:pBdr>
          <w:right w:val="single" w:color="DDDDDD" w:sz="6" w:space="4"/>
        </w:pBdr>
        <w:shd w:val="clear" w:color="auto" w:fill="FFFFFF"/>
        <w:autoSpaceDN w:val="0"/>
        <w:spacing w:line="360" w:lineRule="auto"/>
        <w:ind w:left="67" w:firstLine="640"/>
        <w:jc w:val="both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>年末全县共有20254人享受城市居民最低生活保障，16623人享受农村居民最低生活保障。城市特困人员救助供养人数851人，农村特困人员救助供养人数3340人</w:t>
      </w:r>
    </w:p>
    <w:p>
      <w:pPr>
        <w:pBdr>
          <w:right w:val="single" w:color="DDDDDD" w:sz="6" w:space="4"/>
        </w:pBdr>
        <w:shd w:val="clear" w:color="auto" w:fill="FFFFFF"/>
        <w:autoSpaceDN w:val="0"/>
        <w:spacing w:line="360" w:lineRule="auto"/>
        <w:ind w:left="67" w:firstLine="640"/>
        <w:jc w:val="both"/>
        <w:rPr>
          <w:rFonts w:ascii="Times New Roman" w:hAnsi="Times New Roman" w:eastAsia="方正黑体_GBK" w:cs="方正黑体_GBK"/>
          <w:bCs/>
          <w:sz w:val="32"/>
          <w:szCs w:val="32"/>
        </w:rPr>
      </w:pPr>
      <w:r>
        <w:rPr>
          <w:rFonts w:hint="eastAsia" w:ascii="Times New Roman" w:hAnsi="Times New Roman" w:eastAsia="方正黑体_GBK" w:cs="方正黑体_GBK"/>
          <w:bCs/>
          <w:sz w:val="32"/>
          <w:szCs w:val="32"/>
        </w:rPr>
        <w:t>九、科学技术和教育</w:t>
      </w:r>
    </w:p>
    <w:p>
      <w:pPr>
        <w:pBdr>
          <w:right w:val="single" w:color="DDDDDD" w:sz="6" w:space="4"/>
        </w:pBdr>
        <w:shd w:val="clear" w:color="auto" w:fill="FFFFFF"/>
        <w:autoSpaceDN w:val="0"/>
        <w:spacing w:line="360" w:lineRule="auto"/>
        <w:ind w:left="67" w:firstLine="640"/>
        <w:jc w:val="both"/>
        <w:rPr>
          <w:rFonts w:ascii="Times New Roman" w:hAnsi="Times New Roman" w:eastAsia="方正仿宋_GBK" w:cs="Times New Roman"/>
          <w:color w:val="FF000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>全年研究和试验发展投入</w:t>
      </w:r>
      <w:r>
        <w:rPr>
          <w:rFonts w:ascii="Times New Roman" w:hAnsi="Times New Roman" w:eastAsia="方正仿宋_GBK" w:cs="Times New Roman"/>
          <w:sz w:val="32"/>
          <w:szCs w:val="32"/>
        </w:rPr>
        <w:t>3.5亿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元，比上年增长</w:t>
      </w:r>
      <w:r>
        <w:rPr>
          <w:rFonts w:ascii="Times New Roman" w:hAnsi="Times New Roman" w:eastAsia="方正仿宋_GBK" w:cs="Times New Roman"/>
          <w:sz w:val="32"/>
          <w:szCs w:val="32"/>
        </w:rPr>
        <w:t>16.3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%。科技型企业</w:t>
      </w:r>
      <w:r>
        <w:rPr>
          <w:rFonts w:ascii="Times New Roman" w:hAnsi="Times New Roman" w:eastAsia="方正仿宋_GBK" w:cs="Times New Roman"/>
          <w:sz w:val="32"/>
          <w:szCs w:val="32"/>
        </w:rPr>
        <w:t>206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家，国家高新技术企业</w:t>
      </w:r>
      <w:r>
        <w:rPr>
          <w:rFonts w:ascii="Times New Roman" w:hAnsi="Times New Roman" w:eastAsia="方正仿宋_GBK" w:cs="Times New Roman"/>
          <w:sz w:val="32"/>
          <w:szCs w:val="32"/>
        </w:rPr>
        <w:t>8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家。全年专利授权270件，其中发明专利授权数94件。年末有效发明专利105件。有效注册商标6668件。</w:t>
      </w:r>
    </w:p>
    <w:p>
      <w:pPr>
        <w:pBdr>
          <w:right w:val="single" w:color="DDDDDD" w:sz="6" w:space="4"/>
        </w:pBdr>
        <w:shd w:val="clear" w:color="auto" w:fill="FFFFFF"/>
        <w:autoSpaceDN w:val="0"/>
        <w:spacing w:line="360" w:lineRule="auto"/>
        <w:ind w:left="67" w:firstLine="640"/>
        <w:jc w:val="both"/>
        <w:rPr>
          <w:rFonts w:ascii="Times New Roman" w:hAnsi="Times New Roman" w:eastAsia="方正黑体_GBK" w:cs="方正黑体_GBK"/>
          <w:bCs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>年末全县共有各类学校205所。其中，幼儿园107所，小学50所，初中27所，高中7所，中等职业教育学校2所，一贯制学校10所，特殊教育学校1所，专门学校1所。在校学生数77766人。专任教师数6740人。高中阶段教育毛入学率98.2%，初中入学率100.0%，小学入学率100.0%，学前教育毛入园率93.0%。普惠性幼儿园覆盖率98.2%。九年义务教育巩固率100.0%。</w:t>
      </w:r>
    </w:p>
    <w:p>
      <w:pPr>
        <w:pBdr>
          <w:right w:val="single" w:color="DDDDDD" w:sz="6" w:space="4"/>
        </w:pBdr>
        <w:shd w:val="clear" w:color="auto" w:fill="FFFFFF"/>
        <w:autoSpaceDN w:val="0"/>
        <w:spacing w:line="360" w:lineRule="auto"/>
        <w:ind w:left="67" w:firstLine="640"/>
        <w:jc w:val="both"/>
        <w:rPr>
          <w:rFonts w:ascii="Times New Roman" w:hAnsi="Times New Roman" w:eastAsia="方正黑体_GBK" w:cs="方正黑体_GBK"/>
          <w:bCs/>
          <w:sz w:val="32"/>
          <w:szCs w:val="32"/>
        </w:rPr>
      </w:pPr>
      <w:r>
        <w:rPr>
          <w:rFonts w:hint="eastAsia" w:ascii="Times New Roman" w:hAnsi="Times New Roman" w:eastAsia="方正黑体_GBK" w:cs="方正黑体_GBK"/>
          <w:bCs/>
          <w:sz w:val="32"/>
          <w:szCs w:val="32"/>
        </w:rPr>
        <w:t>十、文化旅游、卫生和体育</w:t>
      </w:r>
    </w:p>
    <w:p>
      <w:pPr>
        <w:widowControl/>
        <w:ind w:left="67" w:firstLine="640"/>
        <w:jc w:val="both"/>
        <w:rPr>
          <w:rFonts w:ascii="Times New Roman" w:hAnsi="Times New Roman" w:eastAsia="方正仿宋_GBK" w:cs="Times New Roman"/>
          <w:color w:val="FF0000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年末全县共有公共图书馆44个，图书总藏量超16万册，文化馆33个。广播综合覆盖率99.8%，电视综合覆盖率99.98%。</w:t>
      </w:r>
    </w:p>
    <w:p>
      <w:pPr>
        <w:pStyle w:val="4"/>
        <w:rPr>
          <w:rFonts w:eastAsia="方正黑体_GBK" w:cs="方正黑体_GBK"/>
          <w:color w:val="000000" w:themeColor="text1"/>
          <w14:textFill>
            <w14:solidFill>
              <w14:schemeClr w14:val="tx1"/>
            </w14:solidFill>
          </w14:textFill>
        </w:rPr>
      </w:pPr>
      <w:r>
        <w:t>全年接待国内外游客</w:t>
      </w:r>
      <w:r>
        <w:rPr>
          <w:rFonts w:hint="eastAsia"/>
        </w:rPr>
        <w:t>2983</w:t>
      </w:r>
      <w:r>
        <w:t>万人次，比上年增长</w:t>
      </w:r>
      <w:r>
        <w:rPr>
          <w:rFonts w:hint="eastAsia"/>
        </w:rPr>
        <w:t>0.1</w:t>
      </w:r>
      <w:r>
        <w:t>%；旅游直接收入</w:t>
      </w:r>
      <w:r>
        <w:rPr>
          <w:rFonts w:hint="eastAsia"/>
        </w:rPr>
        <w:t>1016716</w:t>
      </w:r>
      <w:r>
        <w:t>万元，比上年增长</w:t>
      </w:r>
      <w:r>
        <w:rPr>
          <w:rFonts w:hint="eastAsia"/>
        </w:rPr>
        <w:t>8.4</w:t>
      </w:r>
      <w:r>
        <w:t>%；上交税金</w:t>
      </w:r>
      <w:r>
        <w:rPr>
          <w:rFonts w:hint="eastAsia"/>
        </w:rPr>
        <w:t>32044</w:t>
      </w:r>
      <w:r>
        <w:t>万元，比上年增长</w:t>
      </w:r>
      <w:r>
        <w:rPr>
          <w:rFonts w:hint="eastAsia"/>
        </w:rPr>
        <w:t>4.3</w:t>
      </w:r>
      <w:r>
        <w:t>%；旅游综合收入</w:t>
      </w:r>
      <w:r>
        <w:rPr>
          <w:rFonts w:hint="eastAsia"/>
        </w:rPr>
        <w:t>1417103</w:t>
      </w:r>
      <w:r>
        <w:t>万元，比上年</w:t>
      </w:r>
      <w:r>
        <w:rPr>
          <w:rFonts w:hint="eastAsia"/>
        </w:rPr>
        <w:t>增长6.1</w:t>
      </w:r>
      <w:r>
        <w:t>%。</w:t>
      </w:r>
    </w:p>
    <w:p>
      <w:pPr>
        <w:pStyle w:val="4"/>
        <w:jc w:val="both"/>
        <w:rPr>
          <w:rFonts w:hint="eastAsia"/>
        </w:rPr>
      </w:pPr>
      <w:r>
        <w:rPr>
          <w:rFonts w:hint="eastAsia"/>
        </w:rPr>
        <w:t>年末全县共有医疗卫生机构531个，其中县属医疗卫生机构4个，乡镇（中心）卫生院28个，街道社区卫生服务中心2个。卫生机构床位数5033张。卫生机构从业人员数5513人，其中卫生技术人员4234人。</w:t>
      </w:r>
    </w:p>
    <w:p>
      <w:pPr>
        <w:pStyle w:val="4"/>
        <w:jc w:val="both"/>
        <w:rPr>
          <w:rFonts w:eastAsia="方正黑体_GBK" w:cs="方正黑体_GBK"/>
          <w:bCs/>
        </w:rPr>
      </w:pPr>
      <w:r>
        <w:t>年末全县拥有体育场1个，体育馆1个，全年举办运动会或体育比赛200余场次。获得市级以上运动奖牌18个，其中金牌6.5个，银牌3个，铜牌8.5个。</w:t>
      </w:r>
    </w:p>
    <w:p>
      <w:pPr>
        <w:widowControl/>
        <w:spacing w:line="579" w:lineRule="exact"/>
        <w:ind w:left="67" w:firstLine="640"/>
        <w:jc w:val="both"/>
        <w:rPr>
          <w:rFonts w:ascii="Times New Roman" w:hAnsi="Times New Roman" w:eastAsia="方正黑体_GBK" w:cs="方正黑体_GBK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黑体_GBK" w:cs="方正黑体_GBK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十一、资源、环境和应急管理</w:t>
      </w:r>
    </w:p>
    <w:p>
      <w:pPr>
        <w:spacing w:line="600" w:lineRule="exact"/>
        <w:ind w:left="67" w:firstLine="640"/>
        <w:jc w:val="both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全县环境空气质量满足优良天数344天。环境空气细颗粒物（PM2.5）平均浓度为24微克/立方米。地表水总体水质为优良，Ⅰ—Ⅲ类水质的断面比例为100%，县城、乡镇集中式饮用水源水质达标率分别为100%、96.55%。</w:t>
      </w:r>
    </w:p>
    <w:p>
      <w:pPr>
        <w:spacing w:line="600" w:lineRule="exact"/>
        <w:ind w:left="67" w:firstLine="640"/>
        <w:jc w:val="both"/>
        <w:rPr>
          <w:rFonts w:ascii="Times New Roman" w:hAnsi="Times New Roman" w:eastAsia="方正仿宋_GBK" w:cs="Times New Roman"/>
          <w:color w:val="FF0000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全县自然保护区2个，其中市级自然保护区1个。近三年共实施营造林约46万亩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。全县森林覆盖率</w:t>
      </w:r>
      <w:r>
        <w:rPr>
          <w:rFonts w:ascii="Times New Roman" w:hAnsi="Times New Roman" w:eastAsia="方正仿宋_GBK" w:cs="Times New Roman"/>
          <w:sz w:val="32"/>
          <w:szCs w:val="32"/>
        </w:rPr>
        <w:t>55.08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%。</w:t>
      </w:r>
    </w:p>
    <w:p>
      <w:pPr>
        <w:spacing w:line="600" w:lineRule="exact"/>
        <w:ind w:left="67" w:firstLine="640"/>
        <w:jc w:val="both"/>
        <w:rPr>
          <w:rFonts w:ascii="Times New Roman" w:hAnsi="Times New Roman" w:eastAsia="方正仿宋_GBK" w:cs="Times New Roman"/>
          <w:color w:val="FF0000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全年累计完成298个长江入河排污口销号整治，排查整治58条农村黑臭水体。处置紫光化工遗留污染物2.5万吨，修复镇江园区土壤706亩。</w:t>
      </w:r>
    </w:p>
    <w:p>
      <w:pPr>
        <w:spacing w:line="600" w:lineRule="exact"/>
        <w:ind w:left="67" w:firstLine="640"/>
        <w:jc w:val="both"/>
        <w:rPr>
          <w:rFonts w:ascii="Times New Roman" w:hAnsi="Times New Roman" w:eastAsia="方正仿宋_GBK" w:cs="Times New Roman"/>
          <w:color w:val="FF000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>全年生产安全事故死亡人数3人，比上年下降50.0%；未发生较大及以上生产安全事故。</w:t>
      </w:r>
    </w:p>
    <w:p>
      <w:pPr>
        <w:pStyle w:val="4"/>
      </w:pPr>
    </w:p>
    <w:p>
      <w:pPr>
        <w:pStyle w:val="4"/>
      </w:pPr>
    </w:p>
    <w:p>
      <w:pPr>
        <w:pStyle w:val="4"/>
      </w:pPr>
    </w:p>
    <w:p>
      <w:pPr>
        <w:pStyle w:val="4"/>
      </w:pPr>
    </w:p>
    <w:p>
      <w:pPr>
        <w:pStyle w:val="4"/>
      </w:pPr>
    </w:p>
    <w:p>
      <w:pPr>
        <w:pStyle w:val="4"/>
      </w:pPr>
    </w:p>
    <w:p>
      <w:pPr>
        <w:pStyle w:val="4"/>
      </w:pPr>
    </w:p>
    <w:p>
      <w:pPr>
        <w:pStyle w:val="4"/>
        <w:rPr>
          <w:rFonts w:hint="eastAsia" w:ascii="方正黑体_GBK" w:eastAsia="方正黑体_GBK"/>
        </w:rPr>
      </w:pPr>
    </w:p>
    <w:p>
      <w:pPr>
        <w:pStyle w:val="4"/>
        <w:rPr>
          <w:rFonts w:hint="eastAsia" w:ascii="方正黑体_GBK" w:eastAsia="方正黑体_GBK"/>
        </w:rPr>
      </w:pPr>
    </w:p>
    <w:p>
      <w:pPr>
        <w:pStyle w:val="4"/>
        <w:rPr>
          <w:rFonts w:hint="eastAsia" w:ascii="方正黑体_GBK" w:eastAsia="方正黑体_GBK"/>
        </w:rPr>
      </w:pPr>
    </w:p>
    <w:p>
      <w:pPr>
        <w:pStyle w:val="4"/>
        <w:rPr>
          <w:rFonts w:hint="eastAsia" w:ascii="方正黑体_GBK" w:eastAsia="方正黑体_GBK"/>
        </w:rPr>
      </w:pPr>
    </w:p>
    <w:p>
      <w:pPr>
        <w:pStyle w:val="4"/>
        <w:rPr>
          <w:rFonts w:hint="eastAsia" w:ascii="方正黑体_GBK" w:eastAsia="方正黑体_GBK"/>
        </w:rPr>
      </w:pPr>
      <w:bookmarkStart w:id="4" w:name="_GoBack"/>
      <w:bookmarkEnd w:id="4"/>
      <w:r>
        <w:rPr>
          <w:rFonts w:hint="eastAsia" w:ascii="方正黑体_GBK" w:eastAsia="方正黑体_GBK"/>
        </w:rPr>
        <w:t>注释</w:t>
      </w:r>
    </w:p>
    <w:p>
      <w:pPr>
        <w:pStyle w:val="4"/>
      </w:pPr>
    </w:p>
    <w:p>
      <w:pPr>
        <w:pStyle w:val="4"/>
      </w:pPr>
      <w:r>
        <w:t>1.本公报</w:t>
      </w:r>
      <w:r>
        <w:rPr>
          <w:rFonts w:hint="eastAsia"/>
        </w:rPr>
        <w:t>中2024年数据均为</w:t>
      </w:r>
      <w:r>
        <w:t>初步统计</w:t>
      </w:r>
      <w:r>
        <w:rPr>
          <w:rFonts w:hint="eastAsia"/>
        </w:rPr>
        <w:t>数</w:t>
      </w:r>
      <w:r>
        <w:t>，最终数据以《丰都县统计年鉴 202</w:t>
      </w:r>
      <w:r>
        <w:rPr>
          <w:rFonts w:hint="eastAsia"/>
        </w:rPr>
        <w:t>5</w:t>
      </w:r>
      <w:r>
        <w:t>》为准</w:t>
      </w:r>
      <w:r>
        <w:rPr>
          <w:rFonts w:hint="eastAsia"/>
        </w:rPr>
        <w:t>，其中2023年涉及地区生产总值相关数据根据五经普数据结果修订</w:t>
      </w:r>
      <w:r>
        <w:t>。</w:t>
      </w:r>
    </w:p>
    <w:p>
      <w:pPr>
        <w:pStyle w:val="4"/>
      </w:pPr>
      <w:r>
        <w:t>2.地区生产总值、</w:t>
      </w:r>
      <w:r>
        <w:rPr>
          <w:rFonts w:hint="eastAsia"/>
        </w:rPr>
        <w:t>三次</w:t>
      </w:r>
      <w:r>
        <w:t>产业</w:t>
      </w:r>
      <w:r>
        <w:rPr>
          <w:rFonts w:hint="eastAsia"/>
        </w:rPr>
        <w:t>及相关行业</w:t>
      </w:r>
      <w:r>
        <w:t>增加值绝对</w:t>
      </w:r>
      <w:r>
        <w:rPr>
          <w:rFonts w:hint="eastAsia"/>
        </w:rPr>
        <w:t>数</w:t>
      </w:r>
      <w:r>
        <w:t>按现价计算，增长速度按可比价计算。</w:t>
      </w:r>
    </w:p>
    <w:p>
      <w:pPr>
        <w:spacing w:line="605" w:lineRule="exact"/>
        <w:ind w:left="67" w:firstLine="640"/>
        <w:jc w:val="both"/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</w:t>
      </w:r>
      <w:r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.行业统计标准：</w:t>
      </w:r>
    </w:p>
    <w:p>
      <w:pPr>
        <w:spacing w:line="605" w:lineRule="exact"/>
        <w:ind w:left="67" w:firstLine="640"/>
        <w:jc w:val="both"/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规模以上工业：年主营业务收入2000万元及以上的工业法人单位。</w:t>
      </w:r>
    </w:p>
    <w:p>
      <w:pPr>
        <w:spacing w:line="605" w:lineRule="exact"/>
        <w:ind w:left="67" w:firstLine="640"/>
        <w:jc w:val="both"/>
        <w:rPr>
          <w:rFonts w:ascii="Times New Roman" w:hAnsi="Times New Roman" w:eastAsia="方正仿宋_GBK" w:cs="Times New Roman"/>
          <w:color w:val="000000" w:themeColor="text1"/>
          <w:spacing w:val="6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有</w:t>
      </w:r>
      <w:r>
        <w:rPr>
          <w:rFonts w:ascii="Times New Roman" w:hAnsi="Times New Roman" w:eastAsia="方正仿宋_GBK" w:cs="Times New Roman"/>
          <w:color w:val="000000" w:themeColor="text1"/>
          <w:spacing w:val="6"/>
          <w:sz w:val="32"/>
          <w:szCs w:val="32"/>
          <w14:textFill>
            <w14:solidFill>
              <w14:schemeClr w14:val="tx1"/>
            </w14:solidFill>
          </w14:textFill>
        </w:rPr>
        <w:t>资质的建筑业：有总承包</w:t>
      </w:r>
      <w:r>
        <w:rPr>
          <w:rFonts w:hint="eastAsia" w:ascii="Times New Roman" w:hAnsi="Times New Roman" w:eastAsia="方正仿宋_GBK" w:cs="Times New Roman"/>
          <w:color w:val="000000" w:themeColor="text1"/>
          <w:spacing w:val="6"/>
          <w:sz w:val="32"/>
          <w:szCs w:val="32"/>
          <w14:textFill>
            <w14:solidFill>
              <w14:schemeClr w14:val="tx1"/>
            </w14:solidFill>
          </w14:textFill>
        </w:rPr>
        <w:t>和</w:t>
      </w:r>
      <w:r>
        <w:rPr>
          <w:rFonts w:ascii="Times New Roman" w:hAnsi="Times New Roman" w:eastAsia="方正仿宋_GBK" w:cs="Times New Roman"/>
          <w:color w:val="000000" w:themeColor="text1"/>
          <w:spacing w:val="6"/>
          <w:sz w:val="32"/>
          <w:szCs w:val="32"/>
          <w14:textFill>
            <w14:solidFill>
              <w14:schemeClr w14:val="tx1"/>
            </w14:solidFill>
          </w14:textFill>
        </w:rPr>
        <w:t>专业承包资质的建筑业法人单位。</w:t>
      </w:r>
    </w:p>
    <w:p>
      <w:pPr>
        <w:spacing w:line="605" w:lineRule="exact"/>
        <w:ind w:left="67" w:firstLine="640"/>
        <w:jc w:val="both"/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限额以上批发和零售业：年主营业务收入2000万元及以上的批发业、年主营业务收入500万元及以上的零售业法人单位。</w:t>
      </w:r>
    </w:p>
    <w:p>
      <w:pPr>
        <w:spacing w:line="605" w:lineRule="exact"/>
        <w:ind w:left="67" w:firstLine="640"/>
        <w:jc w:val="both"/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限额以上住宿和餐饮业：年主营业务收入200万元及以上的住宿和餐饮业法人单位。</w:t>
      </w:r>
    </w:p>
    <w:p>
      <w:pPr>
        <w:spacing w:line="605" w:lineRule="exact"/>
        <w:ind w:left="67" w:firstLine="640"/>
        <w:jc w:val="both"/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房地产开发经营业：全部房地产开发经营业法人单位。</w:t>
      </w:r>
    </w:p>
    <w:p>
      <w:pPr>
        <w:spacing w:line="605" w:lineRule="exact"/>
        <w:ind w:left="67" w:firstLine="640"/>
        <w:jc w:val="both"/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规模以上服务业：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年营业收入2</w:t>
      </w:r>
      <w:r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000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万元及以上的交通运输、仓储和邮政业，信息传输、软件和信息技术服务业，水利、环境和公共设施管理业三个门类和卫生行业大类；年营业收入1</w:t>
      </w:r>
      <w:r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000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万元及以上的租赁和商务服务业，科学研究和技术服务业，教育以及物业管理、房地产中介服务、房地产租赁经营和其他房地产业等行业；年营业收入5</w:t>
      </w:r>
      <w:r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00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万元及以上的居民服务、修理和其他服务业，文化、体育和娱乐业及社会工作行业大类。</w:t>
      </w:r>
    </w:p>
    <w:p>
      <w:pPr>
        <w:spacing w:line="605" w:lineRule="exact"/>
        <w:ind w:left="67" w:firstLine="640"/>
        <w:jc w:val="both"/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4</w:t>
      </w:r>
      <w:r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.资料来源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（以文中数据为序）</w:t>
      </w:r>
      <w:r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户籍人口数据来自县公安局；城镇新增就业、失业人员、失业保险数据来自县就业中心；市场主体数据来自县市场监管局；交通、邮政数据来自县交通运输委；战略性新兴产业、通信数据来自县经信委；进出口数据来自县商务委；财政数据来自县财政局；货币金融数据来自人行丰都分行；保险业数据来自丰都金融监管支局；医疗、生育保险数据来自县医保局；城乡低保、城乡特困人员救助数据来自县民政局；科技、专利数据来自县科技局；教育数据来自县教委；文化、旅游、体育数据来自县文化旅游委；医疗卫生数据来自县卫生健康委；空气、水质监测数据来自县生态环境局；自然保护区、林业、森林数据来自县林业局；生产安全事故数据来自县应急局。</w:t>
      </w:r>
      <w:r>
        <w:rPr>
          <w:rFonts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本公报中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其他数据来自县统计局、国家统计局丰都调查队。</w:t>
      </w:r>
    </w:p>
    <w:p>
      <w:pPr>
        <w:spacing w:line="605" w:lineRule="exact"/>
        <w:ind w:left="67" w:firstLine="640"/>
        <w:jc w:val="both"/>
        <w:rPr>
          <w:rFonts w:ascii="Times New Roman" w:hAnsi="Times New Roman" w:eastAsia="方正仿宋_GBK" w:cs="Times New Roman"/>
          <w:sz w:val="32"/>
          <w:szCs w:val="32"/>
        </w:rPr>
      </w:pP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2098" w:right="1531" w:bottom="1984" w:left="1531" w:header="851" w:footer="1502" w:gutter="0"/>
      <w:pgNumType w:start="1"/>
      <w:cols w:space="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420"/>
      </w:pPr>
      <w:r>
        <w:separator/>
      </w:r>
    </w:p>
  </w:endnote>
  <w:endnote w:type="continuationSeparator" w:id="1">
    <w:p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宋一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left="67" w:firstLine="360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posOffset>4680585</wp:posOffset>
              </wp:positionH>
              <wp:positionV relativeFrom="paragraph">
                <wp:posOffset>0</wp:posOffset>
              </wp:positionV>
              <wp:extent cx="935355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935355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6"/>
                            <w:ind w:firstLine="0" w:firstLineChars="0"/>
                            <w:rPr>
                              <w:rFonts w:ascii="方正宋一_GBK" w:hAnsi="方正宋一_GBK" w:eastAsia="方正宋一_GBK" w:cs="方正宋一_GBK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方正宋一_GBK" w:hAnsi="方正宋一_GBK" w:eastAsia="方正宋一_GBK" w:cs="方正宋一_GBK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方正宋一_GBK" w:hAnsi="方正宋一_GBK" w:eastAsia="方正宋一_GBK" w:cs="方正宋一_GBK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方正宋一_GBK" w:hAnsi="方正宋一_GBK" w:eastAsia="方正宋一_GBK" w:cs="方正宋一_GBK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方正宋一_GBK" w:hAnsi="方正宋一_GBK" w:eastAsia="方正宋一_GBK" w:cs="方正宋一_GBK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方正宋一_GBK" w:hAnsi="方正宋一_GBK" w:eastAsia="方正宋一_GBK" w:cs="方正宋一_GBK"/>
                              <w:sz w:val="28"/>
                              <w:szCs w:val="28"/>
                            </w:rPr>
                            <w:t>11</w:t>
                          </w:r>
                          <w:r>
                            <w:rPr>
                              <w:rFonts w:hint="eastAsia" w:ascii="方正宋一_GBK" w:hAnsi="方正宋一_GBK" w:eastAsia="方正宋一_GBK" w:cs="方正宋一_GBK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方正宋一_GBK" w:hAnsi="方正宋一_GBK" w:eastAsia="方正宋一_GBK" w:cs="方正宋一_GBK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368.55pt;margin-top:0pt;height:144pt;width:73.65pt;mso-position-horizontal-relative:margin;z-index:251660288;mso-width-relative:page;mso-height-relative:page;" filled="f" stroked="f" coordsize="21600,21600" o:gfxdata="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AAAAAZHJz&#10;L1BLAQIUABQAAAAIAIdO4kAdmK3R1QAAAAgBAAAPAAAAAAAAAAEAIAAAACIAAABkcnMvZG93bnJl&#10;di54bWxQSwECFAAUAAAACACHTuJABKLv/scBAACMAwAADgAAAAAAAAABACAAAAAkAQAAZHJzL2Uy&#10;b0RvYy54bWxQSwUGAAAAAAYABgBZAQAAXQ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ind w:firstLine="0" w:firstLineChars="0"/>
                      <w:rPr>
                        <w:rFonts w:ascii="方正宋一_GBK" w:hAnsi="方正宋一_GBK" w:eastAsia="方正宋一_GBK" w:cs="方正宋一_GBK"/>
                        <w:sz w:val="28"/>
                        <w:szCs w:val="28"/>
                      </w:rPr>
                    </w:pPr>
                    <w:r>
                      <w:rPr>
                        <w:rFonts w:hint="eastAsia" w:ascii="方正宋一_GBK" w:hAnsi="方正宋一_GBK" w:eastAsia="方正宋一_GBK" w:cs="方正宋一_GBK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方正宋一_GBK" w:hAnsi="方正宋一_GBK" w:eastAsia="方正宋一_GBK" w:cs="方正宋一_GBK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方正宋一_GBK" w:hAnsi="方正宋一_GBK" w:eastAsia="方正宋一_GBK" w:cs="方正宋一_GBK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方正宋一_GBK" w:hAnsi="方正宋一_GBK" w:eastAsia="方正宋一_GBK" w:cs="方正宋一_GBK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方正宋一_GBK" w:hAnsi="方正宋一_GBK" w:eastAsia="方正宋一_GBK" w:cs="方正宋一_GBK"/>
                        <w:sz w:val="28"/>
                        <w:szCs w:val="28"/>
                      </w:rPr>
                      <w:t>11</w:t>
                    </w:r>
                    <w:r>
                      <w:rPr>
                        <w:rFonts w:hint="eastAsia" w:ascii="方正宋一_GBK" w:hAnsi="方正宋一_GBK" w:eastAsia="方正宋一_GBK" w:cs="方正宋一_GBK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方正宋一_GBK" w:hAnsi="方正宋一_GBK" w:eastAsia="方正宋一_GBK" w:cs="方正宋一_GBK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left="67" w:firstLine="0" w:firstLineChars="0"/>
    </w:pPr>
    <w: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6"/>
                            <w:ind w:firstLine="280" w:firstLineChars="100"/>
                            <w:rPr>
                              <w:rFonts w:ascii="方正宋一_GBK" w:hAnsi="方正宋一_GBK" w:eastAsia="方正宋一_GBK" w:cs="方正宋一_GBK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方正宋一_GBK" w:hAnsi="方正宋一_GBK" w:eastAsia="方正宋一_GBK" w:cs="方正宋一_GBK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方正宋一_GBK" w:hAnsi="方正宋一_GBK" w:eastAsia="方正宋一_GBK" w:cs="方正宋一_GBK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方正宋一_GBK" w:hAnsi="方正宋一_GBK" w:eastAsia="方正宋一_GBK" w:cs="方正宋一_GBK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方正宋一_GBK" w:hAnsi="方正宋一_GBK" w:eastAsia="方正宋一_GBK" w:cs="方正宋一_GBK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方正宋一_GBK" w:hAnsi="方正宋一_GBK" w:eastAsia="方正宋一_GBK" w:cs="方正宋一_GBK"/>
                              <w:sz w:val="28"/>
                              <w:szCs w:val="28"/>
                            </w:rPr>
                            <w:t>12</w:t>
                          </w:r>
                          <w:r>
                            <w:rPr>
                              <w:rFonts w:hint="eastAsia" w:ascii="方正宋一_GBK" w:hAnsi="方正宋一_GBK" w:eastAsia="方正宋一_GBK" w:cs="方正宋一_GBK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方正宋一_GBK" w:hAnsi="方正宋一_GBK" w:eastAsia="方正宋一_GBK" w:cs="方正宋一_GBK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8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DXlNi7yQEAAJk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ind w:firstLine="280" w:firstLineChars="100"/>
                      <w:rPr>
                        <w:rFonts w:ascii="方正宋一_GBK" w:hAnsi="方正宋一_GBK" w:eastAsia="方正宋一_GBK" w:cs="方正宋一_GBK"/>
                        <w:sz w:val="28"/>
                        <w:szCs w:val="28"/>
                      </w:rPr>
                    </w:pPr>
                    <w:r>
                      <w:rPr>
                        <w:rFonts w:hint="eastAsia" w:ascii="方正宋一_GBK" w:hAnsi="方正宋一_GBK" w:eastAsia="方正宋一_GBK" w:cs="方正宋一_GBK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方正宋一_GBK" w:hAnsi="方正宋一_GBK" w:eastAsia="方正宋一_GBK" w:cs="方正宋一_GBK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方正宋一_GBK" w:hAnsi="方正宋一_GBK" w:eastAsia="方正宋一_GBK" w:cs="方正宋一_GBK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方正宋一_GBK" w:hAnsi="方正宋一_GBK" w:eastAsia="方正宋一_GBK" w:cs="方正宋一_GBK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方正宋一_GBK" w:hAnsi="方正宋一_GBK" w:eastAsia="方正宋一_GBK" w:cs="方正宋一_GBK"/>
                        <w:sz w:val="28"/>
                        <w:szCs w:val="28"/>
                      </w:rPr>
                      <w:t>12</w:t>
                    </w:r>
                    <w:r>
                      <w:rPr>
                        <w:rFonts w:hint="eastAsia" w:ascii="方正宋一_GBK" w:hAnsi="方正宋一_GBK" w:eastAsia="方正宋一_GBK" w:cs="方正宋一_GBK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方正宋一_GBK" w:hAnsi="方正宋一_GBK" w:eastAsia="方正宋一_GBK" w:cs="方正宋一_GBK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420"/>
      </w:pPr>
      <w:r>
        <w:separator/>
      </w:r>
    </w:p>
  </w:footnote>
  <w:footnote w:type="continuationSeparator" w:id="1">
    <w:p>
      <w:pPr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1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1"/>
      </w:pBdr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evenAndOddHeaders w:val="1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FlZDI1ZmUxMzliNDE3NzJmNjAxMDA0N2U2NTA4MTcifQ=="/>
  </w:docVars>
  <w:rsids>
    <w:rsidRoot w:val="00A0453C"/>
    <w:rsid w:val="0000249E"/>
    <w:rsid w:val="00011DC0"/>
    <w:rsid w:val="0001453D"/>
    <w:rsid w:val="000148CF"/>
    <w:rsid w:val="0001547A"/>
    <w:rsid w:val="0003105B"/>
    <w:rsid w:val="00032303"/>
    <w:rsid w:val="000331FE"/>
    <w:rsid w:val="00036ACE"/>
    <w:rsid w:val="00044735"/>
    <w:rsid w:val="000462B7"/>
    <w:rsid w:val="0005194F"/>
    <w:rsid w:val="00060E61"/>
    <w:rsid w:val="00065D92"/>
    <w:rsid w:val="00080A09"/>
    <w:rsid w:val="000825B6"/>
    <w:rsid w:val="0009033F"/>
    <w:rsid w:val="00096E48"/>
    <w:rsid w:val="000A1099"/>
    <w:rsid w:val="000A5D4B"/>
    <w:rsid w:val="000A77F6"/>
    <w:rsid w:val="000B4E48"/>
    <w:rsid w:val="000C69F2"/>
    <w:rsid w:val="000E1F9F"/>
    <w:rsid w:val="000F735B"/>
    <w:rsid w:val="00105B77"/>
    <w:rsid w:val="00111F51"/>
    <w:rsid w:val="001122C2"/>
    <w:rsid w:val="00123A59"/>
    <w:rsid w:val="0013051D"/>
    <w:rsid w:val="00140BB5"/>
    <w:rsid w:val="0014384E"/>
    <w:rsid w:val="00147BCC"/>
    <w:rsid w:val="00153B3E"/>
    <w:rsid w:val="00160747"/>
    <w:rsid w:val="00163199"/>
    <w:rsid w:val="00166EF0"/>
    <w:rsid w:val="00173487"/>
    <w:rsid w:val="00185C1B"/>
    <w:rsid w:val="00187895"/>
    <w:rsid w:val="001A115B"/>
    <w:rsid w:val="001A2948"/>
    <w:rsid w:val="001A3274"/>
    <w:rsid w:val="001A4321"/>
    <w:rsid w:val="001A5429"/>
    <w:rsid w:val="001A6F39"/>
    <w:rsid w:val="001B2F57"/>
    <w:rsid w:val="001C1C94"/>
    <w:rsid w:val="001C3A2A"/>
    <w:rsid w:val="001C53D5"/>
    <w:rsid w:val="001D1B98"/>
    <w:rsid w:val="001D6273"/>
    <w:rsid w:val="001E0158"/>
    <w:rsid w:val="001E124A"/>
    <w:rsid w:val="001F22D8"/>
    <w:rsid w:val="001F78D7"/>
    <w:rsid w:val="00201643"/>
    <w:rsid w:val="002042A6"/>
    <w:rsid w:val="00220747"/>
    <w:rsid w:val="0022597D"/>
    <w:rsid w:val="00235408"/>
    <w:rsid w:val="002539F8"/>
    <w:rsid w:val="00257494"/>
    <w:rsid w:val="0027400B"/>
    <w:rsid w:val="00284A09"/>
    <w:rsid w:val="00294439"/>
    <w:rsid w:val="002A15CF"/>
    <w:rsid w:val="002B3884"/>
    <w:rsid w:val="002B4541"/>
    <w:rsid w:val="002B5FE7"/>
    <w:rsid w:val="002C4C14"/>
    <w:rsid w:val="002D0B7E"/>
    <w:rsid w:val="002D3E50"/>
    <w:rsid w:val="002D47ED"/>
    <w:rsid w:val="002D523B"/>
    <w:rsid w:val="002E50D2"/>
    <w:rsid w:val="002E6541"/>
    <w:rsid w:val="002F7D67"/>
    <w:rsid w:val="003018E0"/>
    <w:rsid w:val="0030272B"/>
    <w:rsid w:val="003374A0"/>
    <w:rsid w:val="00343761"/>
    <w:rsid w:val="00355557"/>
    <w:rsid w:val="00360DBC"/>
    <w:rsid w:val="003631DF"/>
    <w:rsid w:val="003634D1"/>
    <w:rsid w:val="00367BDA"/>
    <w:rsid w:val="00382374"/>
    <w:rsid w:val="00385CD6"/>
    <w:rsid w:val="00386A74"/>
    <w:rsid w:val="00390528"/>
    <w:rsid w:val="00391419"/>
    <w:rsid w:val="00397475"/>
    <w:rsid w:val="003A144E"/>
    <w:rsid w:val="003A6373"/>
    <w:rsid w:val="003B3992"/>
    <w:rsid w:val="003B6145"/>
    <w:rsid w:val="003B7DEF"/>
    <w:rsid w:val="003C1948"/>
    <w:rsid w:val="003D1E5C"/>
    <w:rsid w:val="003D4139"/>
    <w:rsid w:val="003E3DC2"/>
    <w:rsid w:val="003F2466"/>
    <w:rsid w:val="003F3385"/>
    <w:rsid w:val="00400189"/>
    <w:rsid w:val="00400AE0"/>
    <w:rsid w:val="004034E8"/>
    <w:rsid w:val="00403EED"/>
    <w:rsid w:val="004052E0"/>
    <w:rsid w:val="00411530"/>
    <w:rsid w:val="00430AC4"/>
    <w:rsid w:val="00433A23"/>
    <w:rsid w:val="00435939"/>
    <w:rsid w:val="004438E5"/>
    <w:rsid w:val="00444B28"/>
    <w:rsid w:val="00445FB9"/>
    <w:rsid w:val="00453783"/>
    <w:rsid w:val="0046068B"/>
    <w:rsid w:val="00463FDB"/>
    <w:rsid w:val="004650BD"/>
    <w:rsid w:val="0046518F"/>
    <w:rsid w:val="00475DC6"/>
    <w:rsid w:val="0048124E"/>
    <w:rsid w:val="00484597"/>
    <w:rsid w:val="0049552F"/>
    <w:rsid w:val="004B2E6C"/>
    <w:rsid w:val="004B4F04"/>
    <w:rsid w:val="004B676C"/>
    <w:rsid w:val="004C1B5D"/>
    <w:rsid w:val="004C2143"/>
    <w:rsid w:val="004C381F"/>
    <w:rsid w:val="004C4A27"/>
    <w:rsid w:val="004C5421"/>
    <w:rsid w:val="004D01A7"/>
    <w:rsid w:val="004D0476"/>
    <w:rsid w:val="004D1673"/>
    <w:rsid w:val="004D2EEA"/>
    <w:rsid w:val="004E1793"/>
    <w:rsid w:val="004E7841"/>
    <w:rsid w:val="004F2221"/>
    <w:rsid w:val="004F25CC"/>
    <w:rsid w:val="004F4647"/>
    <w:rsid w:val="0050002D"/>
    <w:rsid w:val="005008D8"/>
    <w:rsid w:val="00503503"/>
    <w:rsid w:val="00506CE8"/>
    <w:rsid w:val="00506EE6"/>
    <w:rsid w:val="00515950"/>
    <w:rsid w:val="00540A70"/>
    <w:rsid w:val="00541A6A"/>
    <w:rsid w:val="00555767"/>
    <w:rsid w:val="0056567E"/>
    <w:rsid w:val="005740C4"/>
    <w:rsid w:val="00577F7A"/>
    <w:rsid w:val="005820D3"/>
    <w:rsid w:val="00584A93"/>
    <w:rsid w:val="00595E72"/>
    <w:rsid w:val="005A26C7"/>
    <w:rsid w:val="005A26D9"/>
    <w:rsid w:val="005A6752"/>
    <w:rsid w:val="005B3901"/>
    <w:rsid w:val="005B4201"/>
    <w:rsid w:val="005B5D44"/>
    <w:rsid w:val="005B7FF1"/>
    <w:rsid w:val="005C0729"/>
    <w:rsid w:val="005C1FEC"/>
    <w:rsid w:val="005C29AA"/>
    <w:rsid w:val="005C3F19"/>
    <w:rsid w:val="005D3DA9"/>
    <w:rsid w:val="005E0900"/>
    <w:rsid w:val="005E0E9A"/>
    <w:rsid w:val="005F251A"/>
    <w:rsid w:val="00605B9E"/>
    <w:rsid w:val="006070A6"/>
    <w:rsid w:val="006120BE"/>
    <w:rsid w:val="006170F6"/>
    <w:rsid w:val="00631036"/>
    <w:rsid w:val="00631B16"/>
    <w:rsid w:val="00634971"/>
    <w:rsid w:val="0063792D"/>
    <w:rsid w:val="00637AED"/>
    <w:rsid w:val="006628D1"/>
    <w:rsid w:val="006631A6"/>
    <w:rsid w:val="00664399"/>
    <w:rsid w:val="006664F6"/>
    <w:rsid w:val="0067517C"/>
    <w:rsid w:val="00684D77"/>
    <w:rsid w:val="00685FA1"/>
    <w:rsid w:val="00686056"/>
    <w:rsid w:val="006904FB"/>
    <w:rsid w:val="00691C28"/>
    <w:rsid w:val="00692215"/>
    <w:rsid w:val="00692327"/>
    <w:rsid w:val="00696174"/>
    <w:rsid w:val="006962B8"/>
    <w:rsid w:val="006A194C"/>
    <w:rsid w:val="006A5527"/>
    <w:rsid w:val="006A66C5"/>
    <w:rsid w:val="006B1073"/>
    <w:rsid w:val="006B1896"/>
    <w:rsid w:val="006B2AD5"/>
    <w:rsid w:val="006B6B5E"/>
    <w:rsid w:val="006C1E18"/>
    <w:rsid w:val="006C48B3"/>
    <w:rsid w:val="006C5092"/>
    <w:rsid w:val="006D0DC8"/>
    <w:rsid w:val="006D1270"/>
    <w:rsid w:val="006D6AFE"/>
    <w:rsid w:val="006D7A1C"/>
    <w:rsid w:val="006E1F26"/>
    <w:rsid w:val="006E5494"/>
    <w:rsid w:val="006E5FB4"/>
    <w:rsid w:val="006E7F0C"/>
    <w:rsid w:val="006F156B"/>
    <w:rsid w:val="006F56FF"/>
    <w:rsid w:val="006F7E04"/>
    <w:rsid w:val="0070174A"/>
    <w:rsid w:val="0071689E"/>
    <w:rsid w:val="00716FBC"/>
    <w:rsid w:val="00720AB8"/>
    <w:rsid w:val="00722794"/>
    <w:rsid w:val="00723698"/>
    <w:rsid w:val="007241CF"/>
    <w:rsid w:val="00724C53"/>
    <w:rsid w:val="007308A5"/>
    <w:rsid w:val="007370FC"/>
    <w:rsid w:val="00741547"/>
    <w:rsid w:val="00750A66"/>
    <w:rsid w:val="007510EB"/>
    <w:rsid w:val="007610AF"/>
    <w:rsid w:val="007632C3"/>
    <w:rsid w:val="00764156"/>
    <w:rsid w:val="0076705A"/>
    <w:rsid w:val="00770274"/>
    <w:rsid w:val="00770A1A"/>
    <w:rsid w:val="0077216B"/>
    <w:rsid w:val="0078197C"/>
    <w:rsid w:val="007852BB"/>
    <w:rsid w:val="007918D3"/>
    <w:rsid w:val="00793CDF"/>
    <w:rsid w:val="00796989"/>
    <w:rsid w:val="007A3123"/>
    <w:rsid w:val="007A4E87"/>
    <w:rsid w:val="007A7B11"/>
    <w:rsid w:val="007C40F4"/>
    <w:rsid w:val="007C5F62"/>
    <w:rsid w:val="007D53D1"/>
    <w:rsid w:val="007E2175"/>
    <w:rsid w:val="007E2A47"/>
    <w:rsid w:val="007F0136"/>
    <w:rsid w:val="00814A34"/>
    <w:rsid w:val="00817E30"/>
    <w:rsid w:val="00821853"/>
    <w:rsid w:val="00830374"/>
    <w:rsid w:val="00832702"/>
    <w:rsid w:val="00833C22"/>
    <w:rsid w:val="008403D9"/>
    <w:rsid w:val="00843DB1"/>
    <w:rsid w:val="00846CF4"/>
    <w:rsid w:val="00847CFD"/>
    <w:rsid w:val="008532C0"/>
    <w:rsid w:val="00856633"/>
    <w:rsid w:val="00865905"/>
    <w:rsid w:val="008728E2"/>
    <w:rsid w:val="008966F5"/>
    <w:rsid w:val="008A1687"/>
    <w:rsid w:val="008A34DB"/>
    <w:rsid w:val="008A58B5"/>
    <w:rsid w:val="008A597F"/>
    <w:rsid w:val="008B10A1"/>
    <w:rsid w:val="008B48EE"/>
    <w:rsid w:val="008B6A07"/>
    <w:rsid w:val="008C27B9"/>
    <w:rsid w:val="008D4563"/>
    <w:rsid w:val="008E2F63"/>
    <w:rsid w:val="008E4407"/>
    <w:rsid w:val="008E46FF"/>
    <w:rsid w:val="008E76F6"/>
    <w:rsid w:val="008E7EB2"/>
    <w:rsid w:val="008F28FD"/>
    <w:rsid w:val="008F516D"/>
    <w:rsid w:val="008F774F"/>
    <w:rsid w:val="009040A9"/>
    <w:rsid w:val="009065CC"/>
    <w:rsid w:val="00914E4D"/>
    <w:rsid w:val="009163B2"/>
    <w:rsid w:val="00935157"/>
    <w:rsid w:val="00940B6D"/>
    <w:rsid w:val="00941A57"/>
    <w:rsid w:val="00942085"/>
    <w:rsid w:val="009470D9"/>
    <w:rsid w:val="00950BEC"/>
    <w:rsid w:val="009519DF"/>
    <w:rsid w:val="00955510"/>
    <w:rsid w:val="00973634"/>
    <w:rsid w:val="009748DA"/>
    <w:rsid w:val="00986D55"/>
    <w:rsid w:val="00991823"/>
    <w:rsid w:val="009A0F97"/>
    <w:rsid w:val="009A2875"/>
    <w:rsid w:val="009A3C03"/>
    <w:rsid w:val="009A5FD1"/>
    <w:rsid w:val="009B41D8"/>
    <w:rsid w:val="009B6809"/>
    <w:rsid w:val="009B7084"/>
    <w:rsid w:val="009B7DA6"/>
    <w:rsid w:val="009B7DFF"/>
    <w:rsid w:val="009C491B"/>
    <w:rsid w:val="009D0D21"/>
    <w:rsid w:val="009D6462"/>
    <w:rsid w:val="009E5248"/>
    <w:rsid w:val="009F04F3"/>
    <w:rsid w:val="009F22CA"/>
    <w:rsid w:val="009F30EC"/>
    <w:rsid w:val="00A0453C"/>
    <w:rsid w:val="00A25959"/>
    <w:rsid w:val="00A25D58"/>
    <w:rsid w:val="00A40AC8"/>
    <w:rsid w:val="00A43B54"/>
    <w:rsid w:val="00A46982"/>
    <w:rsid w:val="00A514B1"/>
    <w:rsid w:val="00A55DE9"/>
    <w:rsid w:val="00A60C27"/>
    <w:rsid w:val="00A61A1D"/>
    <w:rsid w:val="00A64BE9"/>
    <w:rsid w:val="00A67CEB"/>
    <w:rsid w:val="00A67E3B"/>
    <w:rsid w:val="00A7425D"/>
    <w:rsid w:val="00A74492"/>
    <w:rsid w:val="00A748CD"/>
    <w:rsid w:val="00A766EF"/>
    <w:rsid w:val="00A83575"/>
    <w:rsid w:val="00A8481E"/>
    <w:rsid w:val="00A902FB"/>
    <w:rsid w:val="00A959D4"/>
    <w:rsid w:val="00AA716B"/>
    <w:rsid w:val="00AB47C8"/>
    <w:rsid w:val="00AB534A"/>
    <w:rsid w:val="00AB65AE"/>
    <w:rsid w:val="00AE2FA1"/>
    <w:rsid w:val="00B14913"/>
    <w:rsid w:val="00B17D77"/>
    <w:rsid w:val="00B20DF0"/>
    <w:rsid w:val="00B270C5"/>
    <w:rsid w:val="00B27250"/>
    <w:rsid w:val="00B27839"/>
    <w:rsid w:val="00B4438E"/>
    <w:rsid w:val="00B461CE"/>
    <w:rsid w:val="00B46266"/>
    <w:rsid w:val="00B51C9F"/>
    <w:rsid w:val="00B522DC"/>
    <w:rsid w:val="00B55F0E"/>
    <w:rsid w:val="00B5639E"/>
    <w:rsid w:val="00B5741E"/>
    <w:rsid w:val="00B64F2E"/>
    <w:rsid w:val="00B67E34"/>
    <w:rsid w:val="00B74328"/>
    <w:rsid w:val="00B93041"/>
    <w:rsid w:val="00B96391"/>
    <w:rsid w:val="00BA0263"/>
    <w:rsid w:val="00BA16DA"/>
    <w:rsid w:val="00BB15D1"/>
    <w:rsid w:val="00BB22EB"/>
    <w:rsid w:val="00BB3939"/>
    <w:rsid w:val="00BB6A6B"/>
    <w:rsid w:val="00BC0E8E"/>
    <w:rsid w:val="00BC1940"/>
    <w:rsid w:val="00BC2F92"/>
    <w:rsid w:val="00BC45D5"/>
    <w:rsid w:val="00BC52BD"/>
    <w:rsid w:val="00BD6534"/>
    <w:rsid w:val="00BE3D4C"/>
    <w:rsid w:val="00BE5D57"/>
    <w:rsid w:val="00BE7E46"/>
    <w:rsid w:val="00BF1641"/>
    <w:rsid w:val="00BF19D9"/>
    <w:rsid w:val="00BF4059"/>
    <w:rsid w:val="00BF676C"/>
    <w:rsid w:val="00BF6E50"/>
    <w:rsid w:val="00C0051A"/>
    <w:rsid w:val="00C204A9"/>
    <w:rsid w:val="00C25AEE"/>
    <w:rsid w:val="00C27DD9"/>
    <w:rsid w:val="00C347F6"/>
    <w:rsid w:val="00C36CC6"/>
    <w:rsid w:val="00C408C6"/>
    <w:rsid w:val="00C40BF6"/>
    <w:rsid w:val="00C43A9A"/>
    <w:rsid w:val="00C6457F"/>
    <w:rsid w:val="00C75919"/>
    <w:rsid w:val="00C778FA"/>
    <w:rsid w:val="00C818BF"/>
    <w:rsid w:val="00C84878"/>
    <w:rsid w:val="00C858AC"/>
    <w:rsid w:val="00C912D6"/>
    <w:rsid w:val="00C9429E"/>
    <w:rsid w:val="00C96389"/>
    <w:rsid w:val="00CA1EF3"/>
    <w:rsid w:val="00CA78EC"/>
    <w:rsid w:val="00CB57B2"/>
    <w:rsid w:val="00CD6B66"/>
    <w:rsid w:val="00CD7127"/>
    <w:rsid w:val="00CE47C7"/>
    <w:rsid w:val="00CE7C48"/>
    <w:rsid w:val="00CF06EB"/>
    <w:rsid w:val="00CF2618"/>
    <w:rsid w:val="00D0301F"/>
    <w:rsid w:val="00D16F8D"/>
    <w:rsid w:val="00D20A9B"/>
    <w:rsid w:val="00D2113E"/>
    <w:rsid w:val="00D2184D"/>
    <w:rsid w:val="00D26DFD"/>
    <w:rsid w:val="00D40171"/>
    <w:rsid w:val="00D42062"/>
    <w:rsid w:val="00D42294"/>
    <w:rsid w:val="00D430B6"/>
    <w:rsid w:val="00D52789"/>
    <w:rsid w:val="00D5344C"/>
    <w:rsid w:val="00D64B5D"/>
    <w:rsid w:val="00D67062"/>
    <w:rsid w:val="00D70BB4"/>
    <w:rsid w:val="00D743F6"/>
    <w:rsid w:val="00D869B0"/>
    <w:rsid w:val="00D87CC7"/>
    <w:rsid w:val="00D904CB"/>
    <w:rsid w:val="00D91739"/>
    <w:rsid w:val="00D92C90"/>
    <w:rsid w:val="00D93A68"/>
    <w:rsid w:val="00D97C8D"/>
    <w:rsid w:val="00DA2FD8"/>
    <w:rsid w:val="00DA6D09"/>
    <w:rsid w:val="00DB0FC5"/>
    <w:rsid w:val="00DB1142"/>
    <w:rsid w:val="00DB4EEC"/>
    <w:rsid w:val="00DB5535"/>
    <w:rsid w:val="00DC5FB9"/>
    <w:rsid w:val="00DD2A83"/>
    <w:rsid w:val="00DD2ECD"/>
    <w:rsid w:val="00DD6D98"/>
    <w:rsid w:val="00DE0F57"/>
    <w:rsid w:val="00DF5B03"/>
    <w:rsid w:val="00DF5DB3"/>
    <w:rsid w:val="00DF7B84"/>
    <w:rsid w:val="00E04BAC"/>
    <w:rsid w:val="00E07E05"/>
    <w:rsid w:val="00E07FB8"/>
    <w:rsid w:val="00E15080"/>
    <w:rsid w:val="00E17DDA"/>
    <w:rsid w:val="00E22615"/>
    <w:rsid w:val="00E26BFE"/>
    <w:rsid w:val="00E306B0"/>
    <w:rsid w:val="00E30959"/>
    <w:rsid w:val="00E33B66"/>
    <w:rsid w:val="00E33D98"/>
    <w:rsid w:val="00E370A1"/>
    <w:rsid w:val="00E40CFE"/>
    <w:rsid w:val="00E4680E"/>
    <w:rsid w:val="00E52482"/>
    <w:rsid w:val="00E53D4F"/>
    <w:rsid w:val="00E5490D"/>
    <w:rsid w:val="00E54FD4"/>
    <w:rsid w:val="00E5660E"/>
    <w:rsid w:val="00E57FD0"/>
    <w:rsid w:val="00E7026E"/>
    <w:rsid w:val="00E71A0E"/>
    <w:rsid w:val="00E80579"/>
    <w:rsid w:val="00E81026"/>
    <w:rsid w:val="00E85BD0"/>
    <w:rsid w:val="00E950BF"/>
    <w:rsid w:val="00E956BD"/>
    <w:rsid w:val="00EA0DCF"/>
    <w:rsid w:val="00EA2DFD"/>
    <w:rsid w:val="00EB36D9"/>
    <w:rsid w:val="00EB595D"/>
    <w:rsid w:val="00EC613C"/>
    <w:rsid w:val="00ED0B34"/>
    <w:rsid w:val="00ED3235"/>
    <w:rsid w:val="00ED6568"/>
    <w:rsid w:val="00ED740A"/>
    <w:rsid w:val="00EE42D6"/>
    <w:rsid w:val="00EF3C2E"/>
    <w:rsid w:val="00EF54E3"/>
    <w:rsid w:val="00EF54E5"/>
    <w:rsid w:val="00EF734E"/>
    <w:rsid w:val="00F04A23"/>
    <w:rsid w:val="00F1283F"/>
    <w:rsid w:val="00F12A5C"/>
    <w:rsid w:val="00F14CA1"/>
    <w:rsid w:val="00F164DD"/>
    <w:rsid w:val="00F213B5"/>
    <w:rsid w:val="00F245AC"/>
    <w:rsid w:val="00F27337"/>
    <w:rsid w:val="00F327E8"/>
    <w:rsid w:val="00F35123"/>
    <w:rsid w:val="00F43658"/>
    <w:rsid w:val="00F44F63"/>
    <w:rsid w:val="00F466DE"/>
    <w:rsid w:val="00F50FF3"/>
    <w:rsid w:val="00F531E1"/>
    <w:rsid w:val="00F550BB"/>
    <w:rsid w:val="00F6526D"/>
    <w:rsid w:val="00F9061E"/>
    <w:rsid w:val="00F93001"/>
    <w:rsid w:val="00F94328"/>
    <w:rsid w:val="00FA25D9"/>
    <w:rsid w:val="00FA3ABA"/>
    <w:rsid w:val="00FA4219"/>
    <w:rsid w:val="00FA7A50"/>
    <w:rsid w:val="00FB6312"/>
    <w:rsid w:val="00FC0752"/>
    <w:rsid w:val="00FC0C3C"/>
    <w:rsid w:val="00FC47E2"/>
    <w:rsid w:val="00FD1AC9"/>
    <w:rsid w:val="00FD24CA"/>
    <w:rsid w:val="00FD4765"/>
    <w:rsid w:val="00FE08E8"/>
    <w:rsid w:val="00FE1995"/>
    <w:rsid w:val="00FE2DC1"/>
    <w:rsid w:val="00FE3D2D"/>
    <w:rsid w:val="00FE5D9B"/>
    <w:rsid w:val="00FE6440"/>
    <w:rsid w:val="00FE7C39"/>
    <w:rsid w:val="00FF3442"/>
    <w:rsid w:val="00FF58EA"/>
    <w:rsid w:val="040D00EE"/>
    <w:rsid w:val="0687687D"/>
    <w:rsid w:val="0E63197E"/>
    <w:rsid w:val="136E30A7"/>
    <w:rsid w:val="15A802DF"/>
    <w:rsid w:val="22FB2284"/>
    <w:rsid w:val="2308455E"/>
    <w:rsid w:val="24741D97"/>
    <w:rsid w:val="27D6489D"/>
    <w:rsid w:val="29581C87"/>
    <w:rsid w:val="369E0EF6"/>
    <w:rsid w:val="3952499C"/>
    <w:rsid w:val="3B27448A"/>
    <w:rsid w:val="3C5462DE"/>
    <w:rsid w:val="3EBA43F3"/>
    <w:rsid w:val="3FE66B83"/>
    <w:rsid w:val="4F0942FE"/>
    <w:rsid w:val="56C81600"/>
    <w:rsid w:val="59797612"/>
    <w:rsid w:val="5A330EBD"/>
    <w:rsid w:val="62D84CC4"/>
    <w:rsid w:val="63631200"/>
    <w:rsid w:val="6AEF463C"/>
    <w:rsid w:val="6B2328F8"/>
    <w:rsid w:val="6D0F39D8"/>
    <w:rsid w:val="768E7B11"/>
    <w:rsid w:val="7CE87DF9"/>
    <w:rsid w:val="7D01474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qFormat="1" w:unhideWhenUsed="0" w:uiPriority="0" w:semiHidden="0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ind w:firstLine="21" w:firstLineChars="200"/>
    </w:pPr>
    <w:rPr>
      <w:rFonts w:asciiTheme="minorHAnsi" w:hAnsiTheme="minorHAnsi" w:eastAsiaTheme="minorEastAsia" w:cstheme="minorBidi"/>
      <w:sz w:val="21"/>
      <w:szCs w:val="22"/>
      <w:lang w:val="en-US" w:eastAsia="zh-CN" w:bidi="ar-SA"/>
    </w:rPr>
  </w:style>
  <w:style w:type="paragraph" w:styleId="3">
    <w:name w:val="heading 4"/>
    <w:basedOn w:val="1"/>
    <w:next w:val="1"/>
    <w:semiHidden/>
    <w:unhideWhenUsed/>
    <w:qFormat/>
    <w:uiPriority w:val="0"/>
    <w:pPr>
      <w:keepNext/>
      <w:keepLines/>
      <w:spacing w:line="580" w:lineRule="exact"/>
      <w:outlineLvl w:val="3"/>
    </w:pPr>
    <w:rPr>
      <w:rFonts w:ascii="Times New Roman" w:hAnsi="Times New Roman"/>
      <w:sz w:val="32"/>
      <w:szCs w:val="32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Message Header"/>
    <w:qFormat/>
    <w:uiPriority w:val="0"/>
    <w:pPr>
      <w:widowControl w:val="0"/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pct20" w:color="auto" w:fill="auto"/>
      <w:ind w:left="1080" w:leftChars="500" w:hanging="1080" w:hangingChars="500"/>
    </w:pPr>
    <w:rPr>
      <w:rFonts w:ascii="Arial" w:hAnsi="Arial" w:eastAsia="等线" w:cs="Arial"/>
      <w:sz w:val="24"/>
      <w:szCs w:val="24"/>
      <w:lang w:val="en-US" w:eastAsia="zh-CN" w:bidi="ar-SA"/>
    </w:rPr>
  </w:style>
  <w:style w:type="paragraph" w:styleId="4">
    <w:name w:val="Plain Text"/>
    <w:basedOn w:val="1"/>
    <w:link w:val="11"/>
    <w:unhideWhenUsed/>
    <w:qFormat/>
    <w:uiPriority w:val="0"/>
    <w:pPr>
      <w:spacing w:line="590" w:lineRule="exact"/>
      <w:ind w:left="67" w:firstLine="640"/>
    </w:pPr>
    <w:rPr>
      <w:rFonts w:ascii="Times New Roman" w:hAnsi="Times New Roman" w:eastAsia="方正仿宋_GBK" w:cs="Times New Roman"/>
      <w:sz w:val="32"/>
      <w:szCs w:val="32"/>
    </w:rPr>
  </w:style>
  <w:style w:type="paragraph" w:styleId="5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7">
    <w:name w:val="header"/>
    <w:basedOn w:val="1"/>
    <w:link w:val="13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10">
    <w:name w:val="Strong"/>
    <w:basedOn w:val="9"/>
    <w:qFormat/>
    <w:uiPriority w:val="22"/>
    <w:rPr>
      <w:b/>
      <w:bCs/>
    </w:rPr>
  </w:style>
  <w:style w:type="character" w:customStyle="1" w:styleId="11">
    <w:name w:val="纯文本 Char"/>
    <w:basedOn w:val="9"/>
    <w:link w:val="4"/>
    <w:qFormat/>
    <w:uiPriority w:val="0"/>
    <w:rPr>
      <w:rFonts w:eastAsia="方正仿宋_GBK"/>
      <w:sz w:val="32"/>
      <w:szCs w:val="32"/>
    </w:rPr>
  </w:style>
  <w:style w:type="character" w:customStyle="1" w:styleId="12">
    <w:name w:val="批注框文本 Char"/>
    <w:basedOn w:val="9"/>
    <w:link w:val="5"/>
    <w:semiHidden/>
    <w:qFormat/>
    <w:uiPriority w:val="99"/>
    <w:rPr>
      <w:kern w:val="0"/>
      <w:sz w:val="18"/>
      <w:szCs w:val="18"/>
    </w:rPr>
  </w:style>
  <w:style w:type="character" w:customStyle="1" w:styleId="13">
    <w:name w:val="页眉 Char"/>
    <w:basedOn w:val="9"/>
    <w:link w:val="7"/>
    <w:semiHidden/>
    <w:qFormat/>
    <w:uiPriority w:val="99"/>
    <w:rPr>
      <w:kern w:val="0"/>
      <w:sz w:val="18"/>
      <w:szCs w:val="18"/>
    </w:rPr>
  </w:style>
  <w:style w:type="character" w:customStyle="1" w:styleId="14">
    <w:name w:val="页脚 Char"/>
    <w:basedOn w:val="9"/>
    <w:link w:val="6"/>
    <w:qFormat/>
    <w:uiPriority w:val="99"/>
    <w:rPr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customXml" Target="../customXml/item2.xml"/><Relationship Id="rId15" Type="http://schemas.openxmlformats.org/officeDocument/2006/relationships/customXml" Target="../customXml/item1.xml"/><Relationship Id="rId14" Type="http://schemas.openxmlformats.org/officeDocument/2006/relationships/chart" Target="charts/chart3.xml"/><Relationship Id="rId13" Type="http://schemas.openxmlformats.org/officeDocument/2006/relationships/chart" Target="charts/chart2.xml"/><Relationship Id="rId12" Type="http://schemas.openxmlformats.org/officeDocument/2006/relationships/chart" Target="charts/chart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Workbook1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Workbook2.xlsx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Workbook3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全县地区生产总值（GDP）（万元）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dLbl>
              <c:idx val="0"/>
              <c:layout>
                <c:manualLayout>
                  <c:x val="0.00157042763952647"/>
                  <c:y val="0.0212494687632809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1"/>
              <c:layout>
                <c:manualLayout>
                  <c:x val="0"/>
                  <c:y val="0.0212494687632809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2"/>
              <c:layout>
                <c:manualLayout>
                  <c:x val="0"/>
                  <c:y val="0.0237994050148746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3"/>
              <c:layout>
                <c:manualLayout>
                  <c:x val="0.00157042763952647"/>
                  <c:y val="0.0240118997025074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4"/>
              <c:layout>
                <c:manualLayout>
                  <c:x val="0"/>
                  <c:y val="0.0265618359541011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10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Times New Roman" panose="02020603050405020304" charset="0"/>
                    <a:ea typeface="Times New Roman" panose="02020603050405020304" charset="0"/>
                    <a:cs typeface="Times New Roman" panose="02020603050405020304" charset="0"/>
                    <a:sym typeface="Times New Roman" panose="02020603050405020304" charset="0"/>
                  </a:defRPr>
                </a:pPr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prstDash val="solid"/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Sheet1!$A$2:$A$6</c:f>
              <c:strCache>
                <c:ptCount val="5"/>
                <c:pt idx="0">
                  <c:v>2020年</c:v>
                </c:pt>
                <c:pt idx="1">
                  <c:v>2021年</c:v>
                </c:pt>
                <c:pt idx="2">
                  <c:v>2022年</c:v>
                </c:pt>
                <c:pt idx="3">
                  <c:v>2023年</c:v>
                </c:pt>
                <c:pt idx="4">
                  <c:v>2024年</c:v>
                </c:pt>
              </c:strCache>
            </c:strRef>
          </c:cat>
          <c:val>
            <c:numRef>
              <c:f>Sheet1!$B$2:$B$6</c:f>
              <c:numCache>
                <c:formatCode>General</c:formatCode>
                <c:ptCount val="5"/>
                <c:pt idx="0">
                  <c:v>3327636</c:v>
                </c:pt>
                <c:pt idx="1">
                  <c:v>3752765</c:v>
                </c:pt>
                <c:pt idx="2">
                  <c:v>3882107</c:v>
                </c:pt>
                <c:pt idx="3">
                  <c:v>4076112</c:v>
                </c:pt>
                <c:pt idx="4">
                  <c:v>4284129</c:v>
                </c:pt>
              </c:numCache>
            </c:numRef>
          </c:val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92"/>
        <c:overlap val="8"/>
        <c:axId val="183876224"/>
        <c:axId val="183882112"/>
      </c:barChart>
      <c:lineChart>
        <c:grouping val="standard"/>
        <c:varyColors val="0"/>
        <c:ser>
          <c:idx val="2"/>
          <c:order val="1"/>
          <c:tx>
            <c:strRef>
              <c:f>Sheet1!$C$1</c:f>
              <c:strCache>
                <c:ptCount val="1"/>
                <c:pt idx="0">
                  <c:v>增速（%）</c:v>
                </c:pt>
              </c:strCache>
            </c:strRef>
          </c:tx>
          <c:spPr>
            <a:ln w="34925" cap="sq" cmpd="sng" algn="ctr">
              <a:solidFill>
                <a:schemeClr val="accent3"/>
              </a:solidFill>
              <a:prstDash val="solid"/>
              <a:bevel/>
            </a:ln>
            <a:effectLst/>
          </c:spPr>
          <c:marker>
            <c:symbol val="circle"/>
            <c:size val="5"/>
            <c:spPr>
              <a:solidFill>
                <a:schemeClr val="accent3"/>
              </a:solidFill>
              <a:ln w="9525" cap="flat" cmpd="sng" algn="ctr">
                <a:solidFill>
                  <a:schemeClr val="accent3"/>
                </a:solidFill>
                <a:prstDash val="solid"/>
                <a:round/>
              </a:ln>
              <a:effectLst/>
            </c:spPr>
          </c:marker>
          <c:dLbls>
            <c:dLbl>
              <c:idx val="0"/>
              <c:layout>
                <c:manualLayout>
                  <c:x val="-0.0408311186276878"/>
                  <c:y val="-0.0382868161566461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1"/>
              <c:layout>
                <c:manualLayout>
                  <c:x val="-0.0392798940651915"/>
                  <c:y val="0.0382868161566461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2"/>
              <c:layout>
                <c:manualLayout>
                  <c:x val="-0.0392606909881614"/>
                  <c:y val="-0.0399490012749681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3"/>
              <c:layout>
                <c:manualLayout>
                  <c:x val="-0.0346702101956996"/>
                  <c:y val="0.0344241393965151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4"/>
              <c:layout>
                <c:manualLayout>
                  <c:x val="-0.0181203189176131"/>
                  <c:y val="-0.0240118997025074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10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Times New Roman" panose="02020603050405020304" charset="0"/>
                    <a:ea typeface="Times New Roman" panose="02020603050405020304" charset="0"/>
                    <a:cs typeface="Times New Roman" panose="02020603050405020304" charset="0"/>
                    <a:sym typeface="Times New Roman" panose="02020603050405020304" charset="0"/>
                  </a:defRPr>
                </a:pPr>
              </a:p>
            </c:txPr>
            <c:dLblPos val="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prstDash val="solid"/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Sheet1!$A$2:$A$6</c:f>
              <c:strCache>
                <c:ptCount val="5"/>
                <c:pt idx="0">
                  <c:v>2020年</c:v>
                </c:pt>
                <c:pt idx="1">
                  <c:v>2021年</c:v>
                </c:pt>
                <c:pt idx="2">
                  <c:v>2022年</c:v>
                </c:pt>
                <c:pt idx="3">
                  <c:v>2023年</c:v>
                </c:pt>
                <c:pt idx="4">
                  <c:v>2024年</c:v>
                </c:pt>
              </c:strCache>
            </c:strRef>
          </c:cat>
          <c:val>
            <c:numRef>
              <c:f>Sheet1!$C$2:$C$6</c:f>
              <c:numCache>
                <c:formatCode>0.0_ </c:formatCode>
                <c:ptCount val="5"/>
                <c:pt idx="0">
                  <c:v>3</c:v>
                </c:pt>
                <c:pt idx="1">
                  <c:v>7.5</c:v>
                </c:pt>
                <c:pt idx="2">
                  <c:v>4</c:v>
                </c:pt>
                <c:pt idx="3" c:formatCode="General">
                  <c:v>6.5</c:v>
                </c:pt>
                <c:pt idx="4" c:formatCode="General">
                  <c:v>6.6</c:v>
                </c:pt>
              </c:numCache>
            </c:numRef>
          </c:val>
          <c:smooth val="0"/>
        </c:ser>
        <c:dLbls>
          <c:showLegendKey val="0"/>
          <c:showVal val="1"/>
          <c:showCatName val="0"/>
          <c:showSerName val="0"/>
          <c:showPercent val="0"/>
          <c:showBubbleSize val="0"/>
        </c:dLbls>
        <c:marker val="1"/>
        <c:smooth val="0"/>
        <c:axId val="183883648"/>
        <c:axId val="183910400"/>
      </c:lineChart>
      <c:catAx>
        <c:axId val="183876224"/>
        <c:scaling>
          <c:orientation val="minMax"/>
        </c:scaling>
        <c:delete val="0"/>
        <c:axPos val="b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prstDash val="solid"/>
            <a:round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Times New Roman" panose="02020603050405020304" charset="0"/>
                <a:cs typeface="Times New Roman" panose="02020603050405020304" charset="0"/>
                <a:sym typeface="Times New Roman" panose="02020603050405020304" charset="0"/>
              </a:defRPr>
            </a:pPr>
          </a:p>
        </c:txPr>
        <c:crossAx val="183882112"/>
        <c:crosses val="autoZero"/>
        <c:auto val="1"/>
        <c:lblAlgn val="ctr"/>
        <c:lblOffset val="100"/>
        <c:noMultiLvlLbl val="0"/>
      </c:catAx>
      <c:valAx>
        <c:axId val="183882112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lt1">
                  <a:lumMod val="90200"/>
                </a:schemeClr>
              </a:solidFill>
              <a:prstDash val="solid"/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 w="6350" cap="flat" cmpd="sng" algn="ctr">
            <a:noFill/>
            <a:prstDash val="solid"/>
            <a:round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Times New Roman" panose="02020603050405020304" charset="0"/>
                <a:cs typeface="Times New Roman" panose="02020603050405020304" charset="0"/>
                <a:sym typeface="Times New Roman" panose="02020603050405020304" charset="0"/>
              </a:defRPr>
            </a:pPr>
          </a:p>
        </c:txPr>
        <c:crossAx val="183876224"/>
        <c:crosses val="autoZero"/>
        <c:crossBetween val="between"/>
      </c:valAx>
      <c:catAx>
        <c:axId val="183883648"/>
        <c:scaling>
          <c:orientation val="minMax"/>
        </c:scaling>
        <c:delete val="1"/>
        <c:axPos val="b"/>
        <c:majorTickMark val="out"/>
        <c:minorTickMark val="none"/>
        <c:tickLblPos val="none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Times New Roman" panose="02020603050405020304" charset="0"/>
                <a:ea typeface="Times New Roman" panose="02020603050405020304" charset="0"/>
                <a:cs typeface="Times New Roman" panose="02020603050405020304" charset="0"/>
                <a:sym typeface="Times New Roman" panose="02020603050405020304" charset="0"/>
              </a:defRPr>
            </a:pPr>
          </a:p>
        </c:txPr>
        <c:crossAx val="183910400"/>
        <c:crosses val="autoZero"/>
        <c:auto val="1"/>
        <c:lblAlgn val="ctr"/>
        <c:lblOffset val="100"/>
        <c:noMultiLvlLbl val="0"/>
      </c:catAx>
      <c:valAx>
        <c:axId val="183910400"/>
        <c:scaling>
          <c:orientation val="minMax"/>
        </c:scaling>
        <c:delete val="0"/>
        <c:axPos val="r"/>
        <c:numFmt formatCode="0.0_ " sourceLinked="1"/>
        <c:majorTickMark val="out"/>
        <c:minorTickMark val="none"/>
        <c:tickLblPos val="nextTo"/>
        <c:spPr>
          <a:noFill/>
          <a:ln w="6350" cap="flat" cmpd="sng" algn="ctr">
            <a:noFill/>
            <a:prstDash val="solid"/>
            <a:round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Times New Roman" panose="02020603050405020304" charset="0"/>
                <a:cs typeface="Times New Roman" panose="02020603050405020304" charset="0"/>
                <a:sym typeface="Times New Roman" panose="02020603050405020304" charset="0"/>
              </a:defRPr>
            </a:pPr>
          </a:p>
        </c:txPr>
        <c:crossAx val="183883648"/>
        <c:crosses val="max"/>
        <c:crossBetween val="between"/>
      </c:valAx>
      <c:spPr>
        <a:noFill/>
        <a:ln>
          <a:noFill/>
        </a:ln>
        <a:effectLst/>
      </c:spPr>
    </c:plotArea>
    <c:legend>
      <c:legendPos val="b"/>
      <c:legendEntry>
        <c:idx val="0"/>
        <c:txPr>
          <a:bodyPr rot="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Times New Roman" panose="02020603050405020304" charset="0"/>
                <a:cs typeface="Times New Roman" panose="02020603050405020304" charset="0"/>
                <a:sym typeface="Times New Roman" panose="02020603050405020304" charset="0"/>
              </a:defRPr>
            </a:pPr>
          </a:p>
        </c:txPr>
      </c:legendEntry>
      <c:legendEntry>
        <c:idx val="1"/>
        <c:txPr>
          <a:bodyPr rot="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Times New Roman" panose="02020603050405020304" charset="0"/>
                <a:cs typeface="Times New Roman" panose="02020603050405020304" charset="0"/>
                <a:sym typeface="Times New Roman" panose="02020603050405020304" charset="0"/>
              </a:defRPr>
            </a:pPr>
          </a:p>
        </c:txPr>
      </c:legendEntry>
      <c:layout>
        <c:manualLayout>
          <c:xMode val="edge"/>
          <c:yMode val="edge"/>
          <c:x val="0.195276636868809"/>
          <c:y val="0.900977475563115"/>
        </c:manualLayout>
      </c:layout>
      <c:overlay val="0"/>
      <c:spPr>
        <a:noFill/>
        <a:ln>
          <a:noFill/>
        </a:ln>
        <a:effectLst/>
      </c:spPr>
      <c:txPr>
        <a:bodyPr rot="0" spcFirstLastPara="0" vertOverflow="ellipsis" vert="horz" wrap="square" anchor="ctr" anchorCtr="1"/>
        <a:lstStyle/>
        <a:p>
          <a:pPr>
            <a:defRPr lang="zh-CN"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charset="0"/>
              <a:ea typeface="Times New Roman" panose="02020603050405020304" charset="0"/>
              <a:cs typeface="Times New Roman" panose="02020603050405020304" charset="0"/>
              <a:sym typeface="Times New Roman" panose="02020603050405020304" charset="0"/>
            </a:defRPr>
          </a:pPr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prstDash val="solid"/>
      <a:round/>
    </a:ln>
    <a:effectLst/>
  </c:spPr>
  <c:txPr>
    <a:bodyPr/>
    <a:lstStyle/>
    <a:p>
      <a:pPr>
        <a:defRPr lang="zh-CN" b="0">
          <a:latin typeface="Times New Roman" panose="02020603050405020304" charset="0"/>
          <a:ea typeface="Times New Roman" panose="02020603050405020304" charset="0"/>
          <a:cs typeface="Times New Roman" panose="02020603050405020304" charset="0"/>
          <a:sym typeface="Times New Roman" panose="02020603050405020304" charset="0"/>
        </a:defRPr>
      </a:pPr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view3D>
      <c:rotX val="30"/>
      <c:rotY val="0"/>
      <c:depthPercent val="100"/>
      <c:rAngAx val="0"/>
      <c:perspective val="30"/>
    </c:view3D>
    <c:floor>
      <c:thickness val="0"/>
      <c:spPr>
        <a:noFill/>
        <a:effectLst/>
      </c:spPr>
    </c:floor>
    <c:sideWall>
      <c:thickness val="0"/>
      <c:spPr>
        <a:noFill/>
        <a:effectLst/>
      </c:spPr>
    </c:sideWall>
    <c:backWall>
      <c:thickness val="0"/>
      <c:spPr>
        <a:noFill/>
        <a:effectLst/>
      </c:spPr>
    </c:backWall>
    <c:plotArea>
      <c:layout>
        <c:manualLayout>
          <c:layoutTarget val="inner"/>
          <c:xMode val="edge"/>
          <c:yMode val="edge"/>
          <c:x val="0.00388255277845184"/>
          <c:y val="0.0414338919925514"/>
          <c:w val="0.593423926231497"/>
          <c:h val="0.936918063314713"/>
        </c:manualLayout>
      </c:layout>
      <c:pie3D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销售额</c:v>
                </c:pt>
              </c:strCache>
            </c:strRef>
          </c:tx>
          <c:spPr>
            <a:scene3d>
              <a:camera prst="orthographicFront"/>
              <a:lightRig rig="threePt" dir="t"/>
            </a:scene3d>
            <a:sp3d contourW="9525"/>
          </c:spPr>
          <c:explosion val="0"/>
          <c:dPt>
            <c:idx val="0"/>
            <c:bubble3D val="0"/>
            <c:spPr>
              <a:solidFill>
                <a:schemeClr val="accent1"/>
              </a:solidFill>
              <a:ln>
                <a:solidFill>
                  <a:schemeClr val="bg1"/>
                </a:solidFill>
              </a:ln>
              <a:effectLst/>
              <a:scene3d>
                <a:camera prst="orthographicFront"/>
                <a:lightRig rig="threePt" dir="t"/>
              </a:scene3d>
              <a:sp3d contourW="9525"/>
            </c:spPr>
          </c:dPt>
          <c:dPt>
            <c:idx val="1"/>
            <c:bubble3D val="0"/>
            <c:spPr>
              <a:solidFill>
                <a:schemeClr val="accent2"/>
              </a:solidFill>
              <a:ln>
                <a:solidFill>
                  <a:schemeClr val="bg1"/>
                </a:solidFill>
              </a:ln>
              <a:effectLst/>
              <a:scene3d>
                <a:camera prst="orthographicFront"/>
                <a:lightRig rig="threePt" dir="t"/>
              </a:scene3d>
              <a:sp3d contourW="9525"/>
            </c:spPr>
          </c:dPt>
          <c:dPt>
            <c:idx val="2"/>
            <c:bubble3D val="0"/>
            <c:spPr>
              <a:solidFill>
                <a:schemeClr val="accent3"/>
              </a:solidFill>
              <a:ln>
                <a:solidFill>
                  <a:schemeClr val="bg1"/>
                </a:solidFill>
              </a:ln>
              <a:effectLst/>
              <a:scene3d>
                <a:camera prst="orthographicFront"/>
                <a:lightRig rig="threePt" dir="t"/>
              </a:scene3d>
              <a:sp3d contourW="9525"/>
            </c:spPr>
          </c:dPt>
          <c:dPt>
            <c:idx val="3"/>
            <c:bubble3D val="0"/>
            <c:spPr>
              <a:solidFill>
                <a:schemeClr val="accent4"/>
              </a:solidFill>
              <a:ln>
                <a:solidFill>
                  <a:schemeClr val="bg1"/>
                </a:solidFill>
              </a:ln>
              <a:effectLst/>
              <a:scene3d>
                <a:camera prst="orthographicFront"/>
                <a:lightRig rig="threePt" dir="t"/>
              </a:scene3d>
              <a:sp3d contourW="9525"/>
            </c:spPr>
          </c:dPt>
          <c:dPt>
            <c:idx val="4"/>
            <c:bubble3D val="0"/>
            <c:spPr>
              <a:solidFill>
                <a:schemeClr val="accent5"/>
              </a:solidFill>
              <a:ln>
                <a:solidFill>
                  <a:schemeClr val="bg1"/>
                </a:solidFill>
              </a:ln>
              <a:effectLst/>
              <a:scene3d>
                <a:camera prst="orthographicFront"/>
                <a:lightRig rig="threePt" dir="t"/>
              </a:scene3d>
              <a:sp3d contourW="9525"/>
            </c:spPr>
          </c:dPt>
          <c:dLbls>
            <c:dLbl>
              <c:idx val="4"/>
              <c:layout>
                <c:manualLayout>
                  <c:x val="0.0102079018530466"/>
                  <c:y val="0.0726822125602896"/>
                </c:manualLayout>
              </c:layout>
              <c:dLblPos val="bestFit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10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Times New Roman" panose="02020603050405020304" charset="0"/>
                    <a:ea typeface="Times New Roman" panose="02020603050405020304" charset="0"/>
                    <a:cs typeface="Times New Roman" panose="02020603050405020304" charset="0"/>
                    <a:sym typeface="Times New Roman" panose="02020603050405020304" charset="0"/>
                  </a:defRPr>
                </a:pPr>
              </a:p>
            </c:txPr>
            <c:dLblPos val="inEnd"/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extLst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prstDash val="solid"/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Sheet1!$A$2:$A$6</c:f>
              <c:strCache>
                <c:ptCount val="5"/>
                <c:pt idx="0">
                  <c:v>  农业</c:v>
                </c:pt>
                <c:pt idx="1">
                  <c:v>  林业</c:v>
                </c:pt>
                <c:pt idx="2">
                  <c:v>  牧业</c:v>
                </c:pt>
                <c:pt idx="3">
                  <c:v>  渔业</c:v>
                </c:pt>
                <c:pt idx="4">
                  <c:v>  农林牧渔专业及辅助性活动</c:v>
                </c:pt>
              </c:strCache>
            </c:strRef>
          </c:cat>
          <c:val>
            <c:numRef>
              <c:f>Sheet1!$B$2:$B$6</c:f>
              <c:numCache>
                <c:formatCode>0.0%</c:formatCode>
                <c:ptCount val="5"/>
                <c:pt idx="0">
                  <c:v>0.502</c:v>
                </c:pt>
                <c:pt idx="1">
                  <c:v>0.143</c:v>
                </c:pt>
                <c:pt idx="2">
                  <c:v>0.287</c:v>
                </c:pt>
                <c:pt idx="3">
                  <c:v>0.043</c:v>
                </c:pt>
                <c:pt idx="4">
                  <c:v>0.025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1"/>
          <c:showBubbleSize val="0"/>
        </c:dLbls>
      </c:pie3DChart>
      <c:spPr>
        <a:noFill/>
        <a:ln>
          <a:noFill/>
        </a:ln>
        <a:effectLst/>
      </c:spPr>
    </c:plotArea>
    <c:legend>
      <c:legendPos val="r"/>
      <c:legendEntry>
        <c:idx val="0"/>
        <c:txPr>
          <a:bodyPr rot="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Times New Roman" panose="02020603050405020304" charset="0"/>
                <a:cs typeface="Times New Roman" panose="02020603050405020304" charset="0"/>
                <a:sym typeface="Times New Roman" panose="02020603050405020304" charset="0"/>
              </a:defRPr>
            </a:pPr>
          </a:p>
        </c:txPr>
      </c:legendEntry>
      <c:legendEntry>
        <c:idx val="1"/>
        <c:txPr>
          <a:bodyPr rot="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Times New Roman" panose="02020603050405020304" charset="0"/>
                <a:cs typeface="Times New Roman" panose="02020603050405020304" charset="0"/>
                <a:sym typeface="Times New Roman" panose="02020603050405020304" charset="0"/>
              </a:defRPr>
            </a:pPr>
          </a:p>
        </c:txPr>
      </c:legendEntry>
      <c:legendEntry>
        <c:idx val="2"/>
        <c:txPr>
          <a:bodyPr rot="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Times New Roman" panose="02020603050405020304" charset="0"/>
                <a:cs typeface="Times New Roman" panose="02020603050405020304" charset="0"/>
                <a:sym typeface="Times New Roman" panose="02020603050405020304" charset="0"/>
              </a:defRPr>
            </a:pPr>
          </a:p>
        </c:txPr>
      </c:legendEntry>
      <c:legendEntry>
        <c:idx val="3"/>
        <c:txPr>
          <a:bodyPr rot="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Times New Roman" panose="02020603050405020304" charset="0"/>
                <a:cs typeface="Times New Roman" panose="02020603050405020304" charset="0"/>
                <a:sym typeface="Times New Roman" panose="02020603050405020304" charset="0"/>
              </a:defRPr>
            </a:pPr>
          </a:p>
        </c:txPr>
      </c:legendEntry>
      <c:legendEntry>
        <c:idx val="4"/>
        <c:txPr>
          <a:bodyPr rot="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Times New Roman" panose="02020603050405020304" charset="0"/>
                <a:cs typeface="Times New Roman" panose="02020603050405020304" charset="0"/>
                <a:sym typeface="Times New Roman" panose="02020603050405020304" charset="0"/>
              </a:defRPr>
            </a:pPr>
          </a:p>
        </c:txPr>
      </c:legendEntry>
      <c:layout>
        <c:manualLayout>
          <c:xMode val="edge"/>
          <c:yMode val="edge"/>
          <c:x val="0.654137371552191"/>
          <c:y val="0.172611623846346"/>
          <c:w val="0.292861005949164"/>
          <c:h val="0.574706909453729"/>
        </c:manualLayout>
      </c:layout>
      <c:overlay val="0"/>
      <c:spPr>
        <a:noFill/>
        <a:ln>
          <a:noFill/>
        </a:ln>
        <a:effectLst/>
      </c:spPr>
      <c:txPr>
        <a:bodyPr rot="0" spcFirstLastPara="0" vertOverflow="ellipsis" vert="horz" wrap="square" anchor="ctr" anchorCtr="1"/>
        <a:lstStyle/>
        <a:p>
          <a:pPr>
            <a:defRPr lang="zh-CN" sz="10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charset="0"/>
              <a:ea typeface="Times New Roman" panose="02020603050405020304" charset="0"/>
              <a:cs typeface="Times New Roman" panose="02020603050405020304" charset="0"/>
              <a:sym typeface="Times New Roman" panose="02020603050405020304" charset="0"/>
            </a:defRPr>
          </a:pPr>
        </a:p>
      </c:txPr>
    </c:legend>
    <c:plotVisOnly val="1"/>
    <c:dispBlanksAs val="zero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prstDash val="solid"/>
      <a:round/>
    </a:ln>
    <a:effectLst/>
  </c:spPr>
  <c:txPr>
    <a:bodyPr/>
    <a:lstStyle/>
    <a:p>
      <a:pPr>
        <a:defRPr lang="zh-CN">
          <a:latin typeface="Times New Roman" panose="02020603050405020304" charset="0"/>
          <a:ea typeface="Times New Roman" panose="02020603050405020304" charset="0"/>
          <a:cs typeface="Times New Roman" panose="02020603050405020304" charset="0"/>
          <a:sym typeface="Times New Roman" panose="02020603050405020304" charset="0"/>
        </a:defRPr>
      </a:pPr>
    </a:p>
  </c:txPr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全体居民人均可支配收入（元）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dLbl>
              <c:idx val="0"/>
              <c:layout>
                <c:manualLayout>
                  <c:x val="6.86680585416885e-18"/>
                  <c:y val="0.270930726731832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1"/>
              <c:layout>
                <c:manualLayout>
                  <c:x val="-0.00144962551340904"/>
                  <c:y val="0.316192095197624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2"/>
              <c:layout>
                <c:manualLayout>
                  <c:x val="0.00302005315293551"/>
                  <c:y val="0.366553336166596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3"/>
              <c:layout>
                <c:manualLayout>
                  <c:x val="-0.00289925102681807"/>
                  <c:y val="0.424989375265623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4"/>
              <c:layout>
                <c:manualLayout>
                  <c:x val="-0.00157042763952647"/>
                  <c:y val="0.470250743731407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10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Times New Roman" panose="02020603050405020304" charset="0"/>
                    <a:ea typeface="Times New Roman" panose="02020603050405020304" charset="0"/>
                    <a:cs typeface="Times New Roman" panose="02020603050405020304" charset="0"/>
                    <a:sym typeface="Times New Roman" panose="02020603050405020304" charset="0"/>
                  </a:defRPr>
                </a:pPr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prstDash val="solid"/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Sheet1!$A$2:$A$6</c:f>
              <c:strCache>
                <c:ptCount val="5"/>
                <c:pt idx="0">
                  <c:v>2020年</c:v>
                </c:pt>
                <c:pt idx="1">
                  <c:v>2021年</c:v>
                </c:pt>
                <c:pt idx="2">
                  <c:v>2022年</c:v>
                </c:pt>
                <c:pt idx="3">
                  <c:v>2023年</c:v>
                </c:pt>
                <c:pt idx="4">
                  <c:v>2024年</c:v>
                </c:pt>
              </c:strCache>
            </c:strRef>
          </c:cat>
          <c:val>
            <c:numRef>
              <c:f>Sheet1!$B$2:$B$6</c:f>
              <c:numCache>
                <c:formatCode>General</c:formatCode>
                <c:ptCount val="5"/>
                <c:pt idx="0">
                  <c:v>25600</c:v>
                </c:pt>
                <c:pt idx="1">
                  <c:v>28137</c:v>
                </c:pt>
                <c:pt idx="2">
                  <c:v>30324</c:v>
                </c:pt>
                <c:pt idx="3">
                  <c:v>32116</c:v>
                </c:pt>
                <c:pt idx="4">
                  <c:v>33959</c:v>
                </c:pt>
              </c:numCache>
            </c:numRef>
          </c:val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92"/>
        <c:overlap val="8"/>
        <c:axId val="68815488"/>
        <c:axId val="68817280"/>
      </c:barChart>
      <c:lineChart>
        <c:grouping val="standard"/>
        <c:varyColors val="0"/>
        <c:ser>
          <c:idx val="2"/>
          <c:order val="1"/>
          <c:tx>
            <c:strRef>
              <c:f>Sheet1!$C$1</c:f>
              <c:strCache>
                <c:ptCount val="1"/>
                <c:pt idx="0">
                  <c:v>增速（%）</c:v>
                </c:pt>
              </c:strCache>
            </c:strRef>
          </c:tx>
          <c:spPr>
            <a:ln w="28575" cap="rnd" cmpd="sng" algn="ctr">
              <a:solidFill>
                <a:schemeClr val="accent6"/>
              </a:solidFill>
              <a:prstDash val="solid"/>
              <a:round/>
            </a:ln>
            <a:effectLst/>
          </c:spPr>
          <c:marker>
            <c:symbol val="circle"/>
            <c:size val="5"/>
            <c:spPr>
              <a:solidFill>
                <a:schemeClr val="accent6"/>
              </a:solidFill>
              <a:ln w="9525" cap="flat" cmpd="sng" algn="ctr">
                <a:solidFill>
                  <a:schemeClr val="accent6"/>
                </a:solidFill>
                <a:prstDash val="solid"/>
                <a:round/>
              </a:ln>
              <a:effectLst/>
            </c:spPr>
          </c:marker>
          <c:dLbls>
            <c:dLbl>
              <c:idx val="0"/>
              <c:layout>
                <c:manualLayout>
                  <c:x val="-0.0408311186276878"/>
                  <c:y val="-0.0452613684657884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1"/>
              <c:layout>
                <c:manualLayout>
                  <c:x val="-0.0332205846822904"/>
                  <c:y val="-0.0503612409689757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2"/>
              <c:layout>
                <c:manualLayout>
                  <c:x val="-0.0392606909881614"/>
                  <c:y val="-0.0399490012749681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3"/>
              <c:layout>
                <c:manualLayout>
                  <c:x val="-0.0286301038898287"/>
                  <c:y val="-0.0454738631534213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0.0519550805033148"/>
                      <c:h val="0.0700192492781521"/>
                    </c:manualLayout>
                  </c15:layout>
                </c:ext>
              </c:extLst>
            </c:dLbl>
            <c:dLbl>
              <c:idx val="4"/>
              <c:layout>
                <c:manualLayout>
                  <c:x val="-0.025610050736893"/>
                  <c:y val="-0.0399490012749681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10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Times New Roman" panose="02020603050405020304" charset="0"/>
                    <a:ea typeface="Times New Roman" panose="02020603050405020304" charset="0"/>
                    <a:cs typeface="Times New Roman" panose="02020603050405020304" charset="0"/>
                    <a:sym typeface="Times New Roman" panose="02020603050405020304" charset="0"/>
                  </a:defRPr>
                </a:pPr>
              </a:p>
            </c:txPr>
            <c:dLblPos val="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prstDash val="solid"/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Sheet1!$A$2:$A$6</c:f>
              <c:strCache>
                <c:ptCount val="5"/>
                <c:pt idx="0">
                  <c:v>2020年</c:v>
                </c:pt>
                <c:pt idx="1">
                  <c:v>2021年</c:v>
                </c:pt>
                <c:pt idx="2">
                  <c:v>2022年</c:v>
                </c:pt>
                <c:pt idx="3">
                  <c:v>2023年</c:v>
                </c:pt>
                <c:pt idx="4">
                  <c:v>2024年</c:v>
                </c:pt>
              </c:strCache>
            </c:strRef>
          </c:cat>
          <c:val>
            <c:numRef>
              <c:f>Sheet1!$C$2:$C$6</c:f>
              <c:numCache>
                <c:formatCode>0.0_ </c:formatCode>
                <c:ptCount val="5"/>
                <c:pt idx="0">
                  <c:v>8.1</c:v>
                </c:pt>
                <c:pt idx="1">
                  <c:v>9.9</c:v>
                </c:pt>
                <c:pt idx="2">
                  <c:v>7.8</c:v>
                </c:pt>
                <c:pt idx="3" c:formatCode="General">
                  <c:v>5.9</c:v>
                </c:pt>
                <c:pt idx="4" c:formatCode="General">
                  <c:v>5.7</c:v>
                </c:pt>
              </c:numCache>
            </c:numRef>
          </c:val>
          <c:smooth val="0"/>
        </c:ser>
        <c:dLbls>
          <c:showLegendKey val="0"/>
          <c:showVal val="1"/>
          <c:showCatName val="0"/>
          <c:showSerName val="0"/>
          <c:showPercent val="0"/>
          <c:showBubbleSize val="0"/>
        </c:dLbls>
        <c:marker val="1"/>
        <c:smooth val="0"/>
        <c:axId val="68818816"/>
        <c:axId val="68820352"/>
      </c:lineChart>
      <c:catAx>
        <c:axId val="68815488"/>
        <c:scaling>
          <c:orientation val="minMax"/>
        </c:scaling>
        <c:delete val="0"/>
        <c:axPos val="b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prstDash val="solid"/>
            <a:round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Times New Roman" panose="02020603050405020304" charset="0"/>
                <a:cs typeface="Times New Roman" panose="02020603050405020304" charset="0"/>
                <a:sym typeface="Times New Roman" panose="02020603050405020304" charset="0"/>
              </a:defRPr>
            </a:pPr>
          </a:p>
        </c:txPr>
        <c:crossAx val="68817280"/>
        <c:crosses val="autoZero"/>
        <c:auto val="1"/>
        <c:lblAlgn val="ctr"/>
        <c:lblOffset val="100"/>
        <c:noMultiLvlLbl val="0"/>
      </c:catAx>
      <c:valAx>
        <c:axId val="68817280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lt1">
                  <a:lumMod val="90200"/>
                </a:schemeClr>
              </a:solidFill>
              <a:prstDash val="solid"/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 w="6350" cap="flat" cmpd="sng" algn="ctr">
            <a:noFill/>
            <a:prstDash val="solid"/>
            <a:round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Times New Roman" panose="02020603050405020304" charset="0"/>
                <a:cs typeface="Times New Roman" panose="02020603050405020304" charset="0"/>
                <a:sym typeface="Times New Roman" panose="02020603050405020304" charset="0"/>
              </a:defRPr>
            </a:pPr>
          </a:p>
        </c:txPr>
        <c:crossAx val="68815488"/>
        <c:crosses val="autoZero"/>
        <c:crossBetween val="between"/>
      </c:valAx>
      <c:catAx>
        <c:axId val="68818816"/>
        <c:scaling>
          <c:orientation val="minMax"/>
        </c:scaling>
        <c:delete val="1"/>
        <c:axPos val="b"/>
        <c:majorTickMark val="out"/>
        <c:minorTickMark val="none"/>
        <c:tickLblPos val="none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Times New Roman" panose="02020603050405020304" charset="0"/>
                <a:ea typeface="Times New Roman" panose="02020603050405020304" charset="0"/>
                <a:cs typeface="Times New Roman" panose="02020603050405020304" charset="0"/>
                <a:sym typeface="Times New Roman" panose="02020603050405020304" charset="0"/>
              </a:defRPr>
            </a:pPr>
          </a:p>
        </c:txPr>
        <c:crossAx val="68820352"/>
        <c:crosses val="autoZero"/>
        <c:auto val="1"/>
        <c:lblAlgn val="ctr"/>
        <c:lblOffset val="100"/>
        <c:noMultiLvlLbl val="0"/>
      </c:catAx>
      <c:valAx>
        <c:axId val="68820352"/>
        <c:scaling>
          <c:orientation val="minMax"/>
        </c:scaling>
        <c:delete val="0"/>
        <c:axPos val="r"/>
        <c:numFmt formatCode="0.0_ " sourceLinked="1"/>
        <c:majorTickMark val="out"/>
        <c:minorTickMark val="none"/>
        <c:tickLblPos val="nextTo"/>
        <c:spPr>
          <a:noFill/>
          <a:ln w="6350" cap="flat" cmpd="sng" algn="ctr">
            <a:noFill/>
            <a:prstDash val="solid"/>
            <a:round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Times New Roman" panose="02020603050405020304" charset="0"/>
                <a:cs typeface="Times New Roman" panose="02020603050405020304" charset="0"/>
                <a:sym typeface="Times New Roman" panose="02020603050405020304" charset="0"/>
              </a:defRPr>
            </a:pPr>
          </a:p>
        </c:txPr>
        <c:crossAx val="68818816"/>
        <c:crosses val="max"/>
        <c:crossBetween val="between"/>
      </c:valAx>
      <c:spPr>
        <a:noFill/>
        <a:ln>
          <a:noFill/>
        </a:ln>
        <a:effectLst/>
      </c:spPr>
    </c:plotArea>
    <c:legend>
      <c:legendPos val="b"/>
      <c:legendEntry>
        <c:idx val="0"/>
        <c:txPr>
          <a:bodyPr rot="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Times New Roman" panose="02020603050405020304" charset="0"/>
                <a:cs typeface="Times New Roman" panose="02020603050405020304" charset="0"/>
                <a:sym typeface="Times New Roman" panose="02020603050405020304" charset="0"/>
              </a:defRPr>
            </a:pPr>
          </a:p>
        </c:txPr>
      </c:legendEntry>
      <c:legendEntry>
        <c:idx val="1"/>
        <c:txPr>
          <a:bodyPr rot="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Times New Roman" panose="02020603050405020304" charset="0"/>
                <a:cs typeface="Times New Roman" panose="02020603050405020304" charset="0"/>
                <a:sym typeface="Times New Roman" panose="02020603050405020304" charset="0"/>
              </a:defRPr>
            </a:pPr>
          </a:p>
        </c:txPr>
      </c:legendEntry>
      <c:layout>
        <c:manualLayout>
          <c:xMode val="edge"/>
          <c:yMode val="edge"/>
          <c:x val="0.164834206886399"/>
          <c:y val="0.912656400384988"/>
        </c:manualLayout>
      </c:layout>
      <c:overlay val="0"/>
      <c:spPr>
        <a:noFill/>
        <a:ln>
          <a:noFill/>
        </a:ln>
        <a:effectLst/>
      </c:spPr>
      <c:txPr>
        <a:bodyPr rot="0" spcFirstLastPara="0" vertOverflow="ellipsis" vert="horz" wrap="square" anchor="ctr" anchorCtr="1"/>
        <a:lstStyle/>
        <a:p>
          <a:pPr>
            <a:defRPr lang="zh-CN"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charset="0"/>
              <a:ea typeface="Times New Roman" panose="02020603050405020304" charset="0"/>
              <a:cs typeface="Times New Roman" panose="02020603050405020304" charset="0"/>
              <a:sym typeface="Times New Roman" panose="02020603050405020304" charset="0"/>
            </a:defRPr>
          </a:pPr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prstDash val="solid"/>
      <a:round/>
    </a:ln>
    <a:effectLst/>
  </c:spPr>
  <c:txPr>
    <a:bodyPr/>
    <a:lstStyle/>
    <a:p>
      <a:pPr>
        <a:defRPr lang="zh-CN" b="0">
          <a:latin typeface="Times New Roman" panose="02020603050405020304" charset="0"/>
          <a:ea typeface="Times New Roman" panose="02020603050405020304" charset="0"/>
          <a:cs typeface="Times New Roman" panose="02020603050405020304" charset="0"/>
          <a:sym typeface="Times New Roman" panose="02020603050405020304" charset="0"/>
        </a:defRPr>
      </a:pPr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39CED83-705D-4769-BBC3-C9E0E6A2DC4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13</Pages>
  <Words>863</Words>
  <Characters>4924</Characters>
  <Lines>41</Lines>
  <Paragraphs>11</Paragraphs>
  <TotalTime>2</TotalTime>
  <ScaleCrop>false</ScaleCrop>
  <LinksUpToDate>false</LinksUpToDate>
  <CharactersWithSpaces>5776</CharactersWithSpaces>
  <Application>WPS Office_11.8.2.10154_F1E327BC-269C-435d-A152-05C5408002CA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2025-02-13T02:34:00Z</dcterms:created>
  <dc:creator>326-0002</dc:creator>
  <cp:lastModifiedBy>Administrator</cp:lastModifiedBy>
  <cp:lastPrinted>2025-03-11T03:28:00Z</cp:lastPrinted>
  <dcterms:modified xsi:type="dcterms:W3CDTF">2025-04-07T09:01:01Z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  <property fmtid="{D5CDD505-2E9C-101B-9397-08002B2CF9AE}" pid="3" name="ICV">
    <vt:lpwstr>95B282237FCF485A8FB9EE20A7EF532F_13</vt:lpwstr>
  </property>
  <property fmtid="{D5CDD505-2E9C-101B-9397-08002B2CF9AE}" pid="4" name="KSOTemplateDocerSaveRecord">
    <vt:lpwstr>eyJoZGlkIjoiZTQ4MzgyODE2YmIwNjljNGVjNWMxZTk0NjQwZjM5MjgiLCJ1c2VySWQiOiI4NDc3MDc2NTEifQ==</vt:lpwstr>
  </property>
</Properties>
</file>